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B7B2" w14:textId="4CEAAD13" w:rsidR="00C90FC3" w:rsidRPr="00A537DB" w:rsidRDefault="00BF24EC" w:rsidP="00AC70EE">
      <w:pPr>
        <w:shd w:val="clear" w:color="auto" w:fill="FFFFFF" w:themeFill="background1"/>
        <w:spacing w:line="240" w:lineRule="auto"/>
        <w:jc w:val="center"/>
        <w:rPr>
          <w:rFonts w:asciiTheme="majorBidi" w:hAnsiTheme="majorBidi" w:cstheme="majorBidi"/>
          <w:b/>
          <w:bCs/>
          <w:color w:val="0070C0"/>
          <w:sz w:val="28"/>
          <w:szCs w:val="28"/>
          <w:lang w:val="en-US"/>
        </w:rPr>
      </w:pPr>
      <w:r w:rsidRPr="00A537DB">
        <w:rPr>
          <w:rFonts w:asciiTheme="majorBidi" w:hAnsiTheme="majorBidi" w:cstheme="majorBidi"/>
          <w:b/>
          <w:bCs/>
          <w:color w:val="0070C0"/>
          <w:sz w:val="28"/>
          <w:szCs w:val="28"/>
          <w:lang w:val="en-US"/>
        </w:rPr>
        <w:t xml:space="preserve">System-wide Implementation Strategy for </w:t>
      </w:r>
    </w:p>
    <w:p w14:paraId="1B92BA32" w14:textId="2FB99873" w:rsidR="00EF7871" w:rsidRPr="00A537DB" w:rsidRDefault="00C90FC3" w:rsidP="00AC70EE">
      <w:pPr>
        <w:shd w:val="clear" w:color="auto" w:fill="FFFFFF" w:themeFill="background1"/>
        <w:spacing w:line="240" w:lineRule="auto"/>
        <w:jc w:val="center"/>
        <w:rPr>
          <w:rFonts w:asciiTheme="majorBidi" w:hAnsiTheme="majorBidi" w:cstheme="majorBidi"/>
          <w:b/>
          <w:bCs/>
          <w:color w:val="0070C0"/>
          <w:sz w:val="28"/>
          <w:szCs w:val="28"/>
          <w:lang w:val="en-US"/>
        </w:rPr>
      </w:pPr>
      <w:r w:rsidRPr="00A537DB">
        <w:rPr>
          <w:rFonts w:asciiTheme="majorBidi" w:hAnsiTheme="majorBidi" w:cstheme="majorBidi"/>
          <w:b/>
          <w:bCs/>
          <w:color w:val="0070C0"/>
          <w:sz w:val="28"/>
          <w:szCs w:val="28"/>
          <w:lang w:val="en-US"/>
        </w:rPr>
        <w:t>Protection from Sexual Exploitation and Abuse (</w:t>
      </w:r>
      <w:r w:rsidR="00BF24EC" w:rsidRPr="00A537DB">
        <w:rPr>
          <w:rFonts w:asciiTheme="majorBidi" w:hAnsiTheme="majorBidi" w:cstheme="majorBidi"/>
          <w:b/>
          <w:bCs/>
          <w:color w:val="0070C0"/>
          <w:sz w:val="28"/>
          <w:szCs w:val="28"/>
          <w:lang w:val="en-US"/>
        </w:rPr>
        <w:t>PSEA</w:t>
      </w:r>
      <w:r w:rsidRPr="00A537DB">
        <w:rPr>
          <w:rFonts w:asciiTheme="majorBidi" w:hAnsiTheme="majorBidi" w:cstheme="majorBidi"/>
          <w:b/>
          <w:bCs/>
          <w:color w:val="0070C0"/>
          <w:sz w:val="28"/>
          <w:szCs w:val="28"/>
          <w:lang w:val="en-US"/>
        </w:rPr>
        <w:t>)</w:t>
      </w:r>
      <w:r w:rsidR="00BF24EC" w:rsidRPr="00A537DB">
        <w:rPr>
          <w:rFonts w:asciiTheme="majorBidi" w:hAnsiTheme="majorBidi" w:cstheme="majorBidi"/>
          <w:b/>
          <w:bCs/>
          <w:color w:val="0070C0"/>
          <w:sz w:val="28"/>
          <w:szCs w:val="28"/>
          <w:lang w:val="en-US"/>
        </w:rPr>
        <w:t xml:space="preserve"> in South Sudan</w:t>
      </w:r>
    </w:p>
    <w:p w14:paraId="59EE19D3" w14:textId="6B689D26" w:rsidR="00C90FC3" w:rsidRPr="00A537DB" w:rsidRDefault="00C90FC3" w:rsidP="00AC70EE">
      <w:pPr>
        <w:shd w:val="clear" w:color="auto" w:fill="FFFFFF" w:themeFill="background1"/>
        <w:spacing w:line="240" w:lineRule="auto"/>
        <w:jc w:val="center"/>
        <w:rPr>
          <w:rFonts w:asciiTheme="majorBidi" w:hAnsiTheme="majorBidi" w:cstheme="majorBidi"/>
          <w:b/>
          <w:bCs/>
          <w:color w:val="0070C0"/>
          <w:sz w:val="28"/>
          <w:szCs w:val="28"/>
          <w:lang w:val="en-US"/>
        </w:rPr>
      </w:pPr>
      <w:r w:rsidRPr="00A537DB">
        <w:rPr>
          <w:rFonts w:asciiTheme="majorBidi" w:hAnsiTheme="majorBidi" w:cstheme="majorBidi"/>
          <w:b/>
          <w:bCs/>
          <w:color w:val="0070C0"/>
          <w:sz w:val="28"/>
          <w:szCs w:val="28"/>
          <w:lang w:val="en-US"/>
        </w:rPr>
        <w:t xml:space="preserve">2018 </w:t>
      </w:r>
      <w:r w:rsidR="00171FF2" w:rsidRPr="00A537DB">
        <w:rPr>
          <w:rFonts w:asciiTheme="majorBidi" w:hAnsiTheme="majorBidi" w:cstheme="majorBidi"/>
          <w:b/>
          <w:bCs/>
          <w:color w:val="0070C0"/>
          <w:sz w:val="28"/>
          <w:szCs w:val="28"/>
          <w:lang w:val="en-US"/>
        </w:rPr>
        <w:t>–</w:t>
      </w:r>
      <w:r w:rsidRPr="00A537DB">
        <w:rPr>
          <w:rFonts w:asciiTheme="majorBidi" w:hAnsiTheme="majorBidi" w:cstheme="majorBidi"/>
          <w:b/>
          <w:bCs/>
          <w:color w:val="0070C0"/>
          <w:sz w:val="28"/>
          <w:szCs w:val="28"/>
          <w:lang w:val="en-US"/>
        </w:rPr>
        <w:t xml:space="preserve"> 2021</w:t>
      </w:r>
    </w:p>
    <w:p w14:paraId="6077CA2D" w14:textId="77777777" w:rsidR="00AA7744" w:rsidRPr="00A537DB" w:rsidRDefault="00AA7744" w:rsidP="00AA7744">
      <w:pPr>
        <w:spacing w:line="240" w:lineRule="auto"/>
        <w:jc w:val="both"/>
        <w:rPr>
          <w:rFonts w:asciiTheme="majorBidi" w:hAnsiTheme="majorBidi" w:cstheme="majorBidi"/>
          <w:sz w:val="14"/>
          <w:szCs w:val="14"/>
          <w:lang w:val="en-US"/>
        </w:rPr>
      </w:pPr>
    </w:p>
    <w:p w14:paraId="57BEAA5C" w14:textId="179F9730" w:rsidR="008B5A84" w:rsidRPr="004A2545" w:rsidRDefault="008B5A84" w:rsidP="002969AD">
      <w:pPr>
        <w:shd w:val="clear" w:color="auto" w:fill="B4C6E7" w:themeFill="accent1" w:themeFillTint="66"/>
        <w:spacing w:line="240" w:lineRule="auto"/>
        <w:jc w:val="both"/>
        <w:rPr>
          <w:rFonts w:asciiTheme="majorBidi" w:hAnsiTheme="majorBidi" w:cstheme="majorBidi"/>
          <w:b/>
          <w:bCs/>
          <w:sz w:val="28"/>
          <w:szCs w:val="28"/>
          <w:lang w:val="en-US"/>
        </w:rPr>
      </w:pPr>
      <w:r w:rsidRPr="004A2545">
        <w:rPr>
          <w:rFonts w:asciiTheme="majorBidi" w:hAnsiTheme="majorBidi" w:cstheme="majorBidi"/>
          <w:b/>
          <w:bCs/>
          <w:sz w:val="28"/>
          <w:szCs w:val="28"/>
          <w:lang w:val="en-US"/>
        </w:rPr>
        <w:t>Context of SEA in South Sudan</w:t>
      </w:r>
    </w:p>
    <w:p w14:paraId="5B3B51BE" w14:textId="77777777" w:rsidR="00E91BEC" w:rsidRPr="002E6080" w:rsidRDefault="00E91BEC" w:rsidP="00DA199E">
      <w:pPr>
        <w:spacing w:line="240" w:lineRule="auto"/>
        <w:jc w:val="both"/>
        <w:rPr>
          <w:rFonts w:asciiTheme="majorBidi" w:hAnsiTheme="majorBidi" w:cstheme="majorBidi"/>
          <w:sz w:val="10"/>
          <w:szCs w:val="10"/>
          <w:lang w:val="en-US"/>
        </w:rPr>
      </w:pPr>
    </w:p>
    <w:p w14:paraId="7F444952" w14:textId="1E34660A" w:rsidR="00AD7BB9" w:rsidRPr="002E6080" w:rsidRDefault="008B5A84" w:rsidP="00DA199E">
      <w:pPr>
        <w:spacing w:line="240" w:lineRule="auto"/>
        <w:jc w:val="both"/>
        <w:rPr>
          <w:rFonts w:asciiTheme="majorBidi" w:hAnsiTheme="majorBidi" w:cstheme="majorBidi"/>
          <w:sz w:val="21"/>
          <w:szCs w:val="21"/>
          <w:lang w:val="en-US"/>
        </w:rPr>
      </w:pPr>
      <w:r w:rsidRPr="002E6080">
        <w:rPr>
          <w:rFonts w:asciiTheme="majorBidi" w:hAnsiTheme="majorBidi" w:cstheme="majorBidi"/>
          <w:sz w:val="21"/>
          <w:szCs w:val="21"/>
          <w:lang w:val="en-US"/>
        </w:rPr>
        <w:t>Sexual Exploitation and Abuse</w:t>
      </w:r>
      <w:r w:rsidR="007721EF" w:rsidRPr="002E6080">
        <w:rPr>
          <w:rFonts w:asciiTheme="majorBidi" w:hAnsiTheme="majorBidi" w:cstheme="majorBidi"/>
          <w:sz w:val="21"/>
          <w:szCs w:val="21"/>
          <w:lang w:val="en-US"/>
        </w:rPr>
        <w:t xml:space="preserve"> (SEA)</w:t>
      </w:r>
      <w:r w:rsidRPr="002E6080">
        <w:rPr>
          <w:rFonts w:asciiTheme="majorBidi" w:hAnsiTheme="majorBidi" w:cstheme="majorBidi"/>
          <w:sz w:val="21"/>
          <w:szCs w:val="21"/>
          <w:lang w:val="en-US"/>
        </w:rPr>
        <w:t xml:space="preserve"> is a key concern in South Sudan. The context of conflict, economic hardship, food insecurity and limited access to basic social services, along with the poor living conditions of the local population, combine to increase the vulnerability to gender-based violence and survival sex. This, with </w:t>
      </w:r>
      <w:r w:rsidR="00CD1809" w:rsidRPr="002E6080">
        <w:rPr>
          <w:rFonts w:asciiTheme="majorBidi" w:hAnsiTheme="majorBidi" w:cstheme="majorBidi"/>
          <w:sz w:val="21"/>
          <w:szCs w:val="21"/>
          <w:lang w:val="en-US"/>
        </w:rPr>
        <w:t xml:space="preserve">the existence of </w:t>
      </w:r>
      <w:r w:rsidR="00CB3AA6" w:rsidRPr="002E6080">
        <w:rPr>
          <w:rFonts w:asciiTheme="majorBidi" w:hAnsiTheme="majorBidi" w:cstheme="majorBidi"/>
          <w:sz w:val="21"/>
          <w:szCs w:val="21"/>
          <w:lang w:val="en-US"/>
        </w:rPr>
        <w:t>Protection of Civilians (</w:t>
      </w:r>
      <w:r w:rsidR="00CD1809" w:rsidRPr="002E6080">
        <w:rPr>
          <w:rFonts w:asciiTheme="majorBidi" w:hAnsiTheme="majorBidi" w:cstheme="majorBidi"/>
          <w:sz w:val="21"/>
          <w:szCs w:val="21"/>
          <w:lang w:val="en-US"/>
        </w:rPr>
        <w:t>POC</w:t>
      </w:r>
      <w:r w:rsidR="00CB3AA6" w:rsidRPr="002E6080">
        <w:rPr>
          <w:rFonts w:asciiTheme="majorBidi" w:hAnsiTheme="majorBidi" w:cstheme="majorBidi"/>
          <w:sz w:val="21"/>
          <w:szCs w:val="21"/>
          <w:lang w:val="en-US"/>
        </w:rPr>
        <w:t>)</w:t>
      </w:r>
      <w:r w:rsidR="00CD1809" w:rsidRPr="002E6080">
        <w:rPr>
          <w:rFonts w:asciiTheme="majorBidi" w:hAnsiTheme="majorBidi" w:cstheme="majorBidi"/>
          <w:sz w:val="21"/>
          <w:szCs w:val="21"/>
          <w:lang w:val="en-US"/>
        </w:rPr>
        <w:t xml:space="preserve"> sites and</w:t>
      </w:r>
      <w:r w:rsidRPr="002E6080">
        <w:rPr>
          <w:rFonts w:asciiTheme="majorBidi" w:hAnsiTheme="majorBidi" w:cstheme="majorBidi"/>
          <w:sz w:val="21"/>
          <w:szCs w:val="21"/>
          <w:lang w:val="en-US"/>
        </w:rPr>
        <w:t xml:space="preserve"> large presence of peacekeepers and aid workers heighten the exposure to </w:t>
      </w:r>
      <w:r w:rsidR="007721EF" w:rsidRPr="002E6080">
        <w:rPr>
          <w:rFonts w:asciiTheme="majorBidi" w:hAnsiTheme="majorBidi" w:cstheme="majorBidi"/>
          <w:sz w:val="21"/>
          <w:szCs w:val="21"/>
          <w:lang w:val="en-US"/>
        </w:rPr>
        <w:t>SEA</w:t>
      </w:r>
      <w:r w:rsidRPr="002E6080">
        <w:rPr>
          <w:rFonts w:asciiTheme="majorBidi" w:hAnsiTheme="majorBidi" w:cstheme="majorBidi"/>
          <w:sz w:val="21"/>
          <w:szCs w:val="21"/>
          <w:lang w:val="en-US"/>
        </w:rPr>
        <w:t>.</w:t>
      </w:r>
      <w:r w:rsidR="00DA199E" w:rsidRPr="002E6080">
        <w:rPr>
          <w:rFonts w:asciiTheme="majorBidi" w:hAnsiTheme="majorBidi" w:cstheme="majorBidi"/>
          <w:sz w:val="21"/>
          <w:szCs w:val="21"/>
          <w:lang w:val="en-US"/>
        </w:rPr>
        <w:t xml:space="preserve"> </w:t>
      </w:r>
      <w:r w:rsidR="00CD1809" w:rsidRPr="002E6080">
        <w:rPr>
          <w:rFonts w:asciiTheme="majorBidi" w:hAnsiTheme="majorBidi" w:cstheme="majorBidi"/>
          <w:sz w:val="21"/>
          <w:szCs w:val="21"/>
          <w:lang w:val="en-US"/>
        </w:rPr>
        <w:t xml:space="preserve">Community members are not adequately sensitized and mobilized to prevent SEA. </w:t>
      </w:r>
      <w:proofErr w:type="gramStart"/>
      <w:r w:rsidR="00EA4682" w:rsidRPr="002E6080">
        <w:rPr>
          <w:rFonts w:asciiTheme="majorBidi" w:hAnsiTheme="majorBidi" w:cstheme="majorBidi"/>
          <w:sz w:val="21"/>
          <w:szCs w:val="21"/>
          <w:lang w:val="en-US"/>
        </w:rPr>
        <w:t>T</w:t>
      </w:r>
      <w:r w:rsidR="00CD1809" w:rsidRPr="002E6080">
        <w:rPr>
          <w:rFonts w:asciiTheme="majorBidi" w:hAnsiTheme="majorBidi" w:cstheme="majorBidi"/>
          <w:sz w:val="21"/>
          <w:szCs w:val="21"/>
          <w:lang w:val="en-US"/>
        </w:rPr>
        <w:t>he majority of</w:t>
      </w:r>
      <w:proofErr w:type="gramEnd"/>
      <w:r w:rsidR="00CD1809" w:rsidRPr="002E6080">
        <w:rPr>
          <w:rFonts w:asciiTheme="majorBidi" w:hAnsiTheme="majorBidi" w:cstheme="majorBidi"/>
          <w:sz w:val="21"/>
          <w:szCs w:val="21"/>
          <w:lang w:val="en-US"/>
        </w:rPr>
        <w:t xml:space="preserve"> the population </w:t>
      </w:r>
      <w:r w:rsidR="00EA4682" w:rsidRPr="002E6080">
        <w:rPr>
          <w:rFonts w:asciiTheme="majorBidi" w:hAnsiTheme="majorBidi" w:cstheme="majorBidi"/>
          <w:sz w:val="21"/>
          <w:szCs w:val="21"/>
          <w:lang w:val="en-US"/>
        </w:rPr>
        <w:t xml:space="preserve">is not aware of </w:t>
      </w:r>
      <w:r w:rsidR="00CD1809" w:rsidRPr="002E6080">
        <w:rPr>
          <w:rFonts w:asciiTheme="majorBidi" w:hAnsiTheme="majorBidi" w:cstheme="majorBidi"/>
          <w:sz w:val="21"/>
          <w:szCs w:val="21"/>
          <w:lang w:val="en-US"/>
        </w:rPr>
        <w:t>where and how to make</w:t>
      </w:r>
      <w:r w:rsidR="00EA4682" w:rsidRPr="002E6080">
        <w:rPr>
          <w:rFonts w:asciiTheme="majorBidi" w:hAnsiTheme="majorBidi" w:cstheme="majorBidi"/>
          <w:sz w:val="21"/>
          <w:szCs w:val="21"/>
          <w:lang w:val="en-US"/>
        </w:rPr>
        <w:t xml:space="preserve"> SEA</w:t>
      </w:r>
      <w:r w:rsidR="00CD1809" w:rsidRPr="002E6080">
        <w:rPr>
          <w:rFonts w:asciiTheme="majorBidi" w:hAnsiTheme="majorBidi" w:cstheme="majorBidi"/>
          <w:sz w:val="21"/>
          <w:szCs w:val="21"/>
          <w:lang w:val="en-US"/>
        </w:rPr>
        <w:t xml:space="preserve"> complaints and what the results might be. Amongst staff, personnel and contractors working for peacekeeping and humanitarian aid delivery, there is a low level on </w:t>
      </w:r>
      <w:r w:rsidR="00EA4682" w:rsidRPr="002E6080">
        <w:rPr>
          <w:rFonts w:asciiTheme="majorBidi" w:hAnsiTheme="majorBidi" w:cstheme="majorBidi"/>
          <w:sz w:val="21"/>
          <w:szCs w:val="21"/>
          <w:lang w:val="en-US"/>
        </w:rPr>
        <w:t>knowledge</w:t>
      </w:r>
      <w:r w:rsidR="00693C8C" w:rsidRPr="002E6080">
        <w:rPr>
          <w:rFonts w:asciiTheme="majorBidi" w:hAnsiTheme="majorBidi" w:cstheme="majorBidi"/>
          <w:sz w:val="21"/>
          <w:szCs w:val="21"/>
          <w:lang w:val="en-US"/>
        </w:rPr>
        <w:t xml:space="preserve"> of</w:t>
      </w:r>
      <w:r w:rsidR="00CD1809" w:rsidRPr="002E6080">
        <w:rPr>
          <w:rFonts w:asciiTheme="majorBidi" w:hAnsiTheme="majorBidi" w:cstheme="majorBidi"/>
          <w:sz w:val="21"/>
          <w:szCs w:val="21"/>
          <w:lang w:val="en-US"/>
        </w:rPr>
        <w:t xml:space="preserve"> standards of </w:t>
      </w:r>
      <w:r w:rsidR="005B0E24" w:rsidRPr="002E6080">
        <w:rPr>
          <w:rFonts w:asciiTheme="majorBidi" w:hAnsiTheme="majorBidi" w:cstheme="majorBidi"/>
          <w:sz w:val="21"/>
          <w:szCs w:val="21"/>
          <w:lang w:val="en-US"/>
        </w:rPr>
        <w:t>conduct, policies and procedures on PSEA</w:t>
      </w:r>
      <w:r w:rsidR="00CD1809" w:rsidRPr="002E6080">
        <w:rPr>
          <w:rFonts w:asciiTheme="majorBidi" w:hAnsiTheme="majorBidi" w:cstheme="majorBidi"/>
          <w:sz w:val="21"/>
          <w:szCs w:val="21"/>
          <w:lang w:val="en-US"/>
        </w:rPr>
        <w:t>.</w:t>
      </w:r>
    </w:p>
    <w:p w14:paraId="5C9BB871" w14:textId="77777777" w:rsidR="002D2D8C" w:rsidRPr="002E6080" w:rsidRDefault="002D2D8C" w:rsidP="002D2D8C">
      <w:pPr>
        <w:spacing w:line="240" w:lineRule="auto"/>
        <w:jc w:val="both"/>
        <w:rPr>
          <w:rFonts w:asciiTheme="majorBidi" w:hAnsiTheme="majorBidi" w:cstheme="majorBidi"/>
          <w:sz w:val="10"/>
          <w:szCs w:val="10"/>
          <w:lang w:val="en-US"/>
        </w:rPr>
      </w:pPr>
    </w:p>
    <w:p w14:paraId="4FC714ED" w14:textId="505A196D" w:rsidR="00E83534" w:rsidRPr="00451885" w:rsidRDefault="002D2D8C" w:rsidP="00680A8F">
      <w:pPr>
        <w:shd w:val="clear" w:color="auto" w:fill="B4C6E7" w:themeFill="accent1" w:themeFillTint="66"/>
        <w:spacing w:line="240" w:lineRule="auto"/>
        <w:jc w:val="both"/>
        <w:rPr>
          <w:rFonts w:asciiTheme="majorBidi" w:hAnsiTheme="majorBidi" w:cstheme="majorBidi"/>
          <w:b/>
          <w:bCs/>
          <w:sz w:val="28"/>
          <w:szCs w:val="28"/>
          <w:lang w:val="en-US"/>
        </w:rPr>
      </w:pPr>
      <w:r w:rsidRPr="00451885">
        <w:rPr>
          <w:rFonts w:asciiTheme="majorBidi" w:hAnsiTheme="majorBidi" w:cstheme="majorBidi"/>
          <w:b/>
          <w:bCs/>
          <w:sz w:val="28"/>
          <w:szCs w:val="28"/>
          <w:lang w:val="en-US"/>
        </w:rPr>
        <w:t>System-wide Implementation Strategy</w:t>
      </w:r>
      <w:r w:rsidR="00C569B2" w:rsidRPr="00451885">
        <w:rPr>
          <w:rFonts w:asciiTheme="majorBidi" w:hAnsiTheme="majorBidi" w:cstheme="majorBidi"/>
          <w:b/>
          <w:bCs/>
          <w:sz w:val="28"/>
          <w:szCs w:val="28"/>
          <w:lang w:val="en-US"/>
        </w:rPr>
        <w:t xml:space="preserve"> 2018 – 2021</w:t>
      </w:r>
    </w:p>
    <w:p w14:paraId="39688BE8" w14:textId="77777777" w:rsidR="002D2D8C" w:rsidRPr="002E6080" w:rsidRDefault="002D2D8C" w:rsidP="00E83534">
      <w:pPr>
        <w:spacing w:line="240" w:lineRule="auto"/>
        <w:jc w:val="both"/>
        <w:rPr>
          <w:rFonts w:asciiTheme="majorBidi" w:hAnsiTheme="majorBidi" w:cstheme="majorBidi"/>
          <w:sz w:val="10"/>
          <w:szCs w:val="10"/>
          <w:lang w:val="en-US"/>
        </w:rPr>
      </w:pPr>
    </w:p>
    <w:p w14:paraId="23510AA0" w14:textId="551BE6F7" w:rsidR="00E83534" w:rsidRPr="002E6080" w:rsidRDefault="00E83534" w:rsidP="00AC00F1">
      <w:pPr>
        <w:spacing w:line="240" w:lineRule="auto"/>
        <w:jc w:val="both"/>
        <w:rPr>
          <w:rFonts w:asciiTheme="majorBidi" w:hAnsiTheme="majorBidi" w:cstheme="majorBidi"/>
          <w:sz w:val="21"/>
          <w:szCs w:val="21"/>
          <w:lang w:val="en-US"/>
        </w:rPr>
      </w:pPr>
      <w:r w:rsidRPr="002E6080">
        <w:rPr>
          <w:rFonts w:asciiTheme="majorBidi" w:hAnsiTheme="majorBidi" w:cstheme="majorBidi"/>
          <w:sz w:val="21"/>
          <w:szCs w:val="21"/>
          <w:lang w:val="en-US"/>
        </w:rPr>
        <w:t>The South Sudan national PSEA Task Force developed a 3-year (August 2018 – July 2021), US$ 660,000 system-wide comprehensive implementation strategy on PSEA to guide the design and delivery of interventions directed at</w:t>
      </w:r>
      <w:r w:rsidR="002D2D8C" w:rsidRPr="002E6080">
        <w:rPr>
          <w:rFonts w:asciiTheme="majorBidi" w:hAnsiTheme="majorBidi" w:cstheme="majorBidi"/>
          <w:sz w:val="21"/>
          <w:szCs w:val="21"/>
          <w:lang w:val="en-US"/>
        </w:rPr>
        <w:t xml:space="preserve"> p</w:t>
      </w:r>
      <w:r w:rsidRPr="002E6080">
        <w:rPr>
          <w:rFonts w:asciiTheme="majorBidi" w:hAnsiTheme="majorBidi" w:cstheme="majorBidi"/>
          <w:sz w:val="21"/>
          <w:szCs w:val="21"/>
          <w:lang w:val="en-US"/>
        </w:rPr>
        <w:t>reventing</w:t>
      </w:r>
      <w:r w:rsidR="002D2D8C" w:rsidRPr="002E6080">
        <w:rPr>
          <w:rFonts w:asciiTheme="majorBidi" w:hAnsiTheme="majorBidi" w:cstheme="majorBidi"/>
          <w:sz w:val="21"/>
          <w:szCs w:val="21"/>
          <w:lang w:val="en-US"/>
        </w:rPr>
        <w:t>, r</w:t>
      </w:r>
      <w:r w:rsidRPr="002E6080">
        <w:rPr>
          <w:rFonts w:asciiTheme="majorBidi" w:hAnsiTheme="majorBidi" w:cstheme="majorBidi"/>
          <w:sz w:val="21"/>
          <w:szCs w:val="21"/>
          <w:lang w:val="en-US"/>
        </w:rPr>
        <w:t xml:space="preserve">esponding to and </w:t>
      </w:r>
      <w:r w:rsidR="002D2D8C" w:rsidRPr="002E6080">
        <w:rPr>
          <w:rFonts w:asciiTheme="majorBidi" w:hAnsiTheme="majorBidi" w:cstheme="majorBidi"/>
          <w:sz w:val="21"/>
          <w:szCs w:val="21"/>
          <w:lang w:val="en-US"/>
        </w:rPr>
        <w:t>m</w:t>
      </w:r>
      <w:r w:rsidRPr="002E6080">
        <w:rPr>
          <w:rFonts w:asciiTheme="majorBidi" w:hAnsiTheme="majorBidi" w:cstheme="majorBidi"/>
          <w:sz w:val="21"/>
          <w:szCs w:val="21"/>
          <w:lang w:val="en-US"/>
        </w:rPr>
        <w:t>itigating the impact of SEA in South Sudan</w:t>
      </w:r>
      <w:r w:rsidR="00AC00F1" w:rsidRPr="002E6080">
        <w:rPr>
          <w:rFonts w:asciiTheme="majorBidi" w:hAnsiTheme="majorBidi" w:cstheme="majorBidi"/>
          <w:sz w:val="21"/>
          <w:szCs w:val="21"/>
          <w:lang w:val="en-US"/>
        </w:rPr>
        <w:t xml:space="preserve"> across the humanitarian, development and peace nexus involving peace keeping operations and aid work</w:t>
      </w:r>
      <w:r w:rsidRPr="002E6080">
        <w:rPr>
          <w:rFonts w:asciiTheme="majorBidi" w:hAnsiTheme="majorBidi" w:cstheme="majorBidi"/>
          <w:sz w:val="21"/>
          <w:szCs w:val="21"/>
          <w:lang w:val="en-US"/>
        </w:rPr>
        <w:t>.</w:t>
      </w:r>
      <w:r w:rsidR="00AC00F1" w:rsidRPr="002E6080">
        <w:rPr>
          <w:rFonts w:asciiTheme="majorBidi" w:hAnsiTheme="majorBidi" w:cstheme="majorBidi"/>
          <w:sz w:val="21"/>
          <w:szCs w:val="21"/>
          <w:lang w:val="en-US"/>
        </w:rPr>
        <w:t xml:space="preserve"> </w:t>
      </w:r>
      <w:r w:rsidRPr="002E6080">
        <w:rPr>
          <w:rFonts w:asciiTheme="majorBidi" w:hAnsiTheme="majorBidi" w:cstheme="majorBidi"/>
          <w:sz w:val="21"/>
          <w:szCs w:val="21"/>
          <w:lang w:val="en-US"/>
        </w:rPr>
        <w:t>The strategy, developed under the leadership of DSRSG/HC/RC through participatory, inclusive and consultative process</w:t>
      </w:r>
      <w:r w:rsidR="00403A2E" w:rsidRPr="002E6080">
        <w:rPr>
          <w:rFonts w:asciiTheme="majorBidi" w:hAnsiTheme="majorBidi" w:cstheme="majorBidi"/>
          <w:sz w:val="21"/>
          <w:szCs w:val="21"/>
          <w:lang w:val="en-US"/>
        </w:rPr>
        <w:t>,</w:t>
      </w:r>
      <w:r w:rsidRPr="002E6080">
        <w:rPr>
          <w:rFonts w:asciiTheme="majorBidi" w:hAnsiTheme="majorBidi" w:cstheme="majorBidi"/>
          <w:sz w:val="21"/>
          <w:szCs w:val="21"/>
          <w:lang w:val="en-US"/>
        </w:rPr>
        <w:t xml:space="preserve"> </w:t>
      </w:r>
      <w:r w:rsidR="00E91BEC" w:rsidRPr="002E6080">
        <w:rPr>
          <w:rFonts w:cs="Times New Roman"/>
          <w:sz w:val="21"/>
          <w:szCs w:val="21"/>
        </w:rPr>
        <w:t xml:space="preserve">involving drafting and internal consultation at UN and NGO Head Office levels in Juba and field level through members of the National Task Force on PSEA that comprises all the UN Agencies, Funds and Programmes, UN Mission in South Sudan (UNMISS) Conduct and Discipline Team (CDT) and international and national NGO representatives. It has received guidance from both UN Global and Field Victims’ Rights Advocates as well as received input from the Secretary General’s Special Coordinator on improving United Nations Response to SEA. </w:t>
      </w:r>
    </w:p>
    <w:p w14:paraId="11316EF4" w14:textId="77777777" w:rsidR="00E91BEC" w:rsidRPr="002E6080" w:rsidRDefault="00E91BEC">
      <w:pPr>
        <w:rPr>
          <w:rFonts w:asciiTheme="majorBidi" w:hAnsiTheme="majorBidi" w:cstheme="majorBidi"/>
          <w:sz w:val="10"/>
          <w:szCs w:val="10"/>
          <w:lang w:val="en-US"/>
        </w:rPr>
      </w:pPr>
    </w:p>
    <w:p w14:paraId="5D3F551E" w14:textId="4F488932" w:rsidR="00E91BEC" w:rsidRDefault="00E91BEC" w:rsidP="000B5581">
      <w:pPr>
        <w:spacing w:after="60"/>
        <w:jc w:val="both"/>
        <w:rPr>
          <w:rFonts w:cs="Times New Roman"/>
          <w:sz w:val="21"/>
          <w:szCs w:val="21"/>
        </w:rPr>
      </w:pPr>
      <w:r w:rsidRPr="002E6080">
        <w:rPr>
          <w:rFonts w:cs="Times New Roman"/>
          <w:sz w:val="21"/>
          <w:szCs w:val="21"/>
        </w:rPr>
        <w:t xml:space="preserve">The Strategy responds to the challenges of SEA in South Sudan while drawing inspiration and guidance from both the </w:t>
      </w:r>
      <w:r w:rsidRPr="002E6080">
        <w:rPr>
          <w:rFonts w:cs="Times New Roman"/>
          <w:i/>
          <w:sz w:val="21"/>
          <w:szCs w:val="21"/>
        </w:rPr>
        <w:t>Secretary General’s Bulletin on Special Measures for Protection from SEA</w:t>
      </w:r>
      <w:r w:rsidRPr="002E6080">
        <w:rPr>
          <w:rFonts w:cs="Times New Roman"/>
          <w:sz w:val="21"/>
          <w:szCs w:val="21"/>
        </w:rPr>
        <w:t xml:space="preserve"> (ST/SGB/2003/13) and the “Report on Special Measures for PSEA” contained in his February 2017 Report (A/71/818). This Strategy incorporates these measures and responds to issues raised in the Inter-Office Memorandum from the Chef de Cabinet on Strengthened Preventive Measures to Protect Vulnerable Populations in South Sudan from SEA dated 30 April 2018. The Strategy has also drawn lessons and implementation experiences from the First Strategy on PSEA in South Sudan that was developed in 2016; and it is informed by the comprehensive SEA Risk Management Tool Kit recently developed by the United Nations Department of Peace-keeping Operations and Field Support.</w:t>
      </w:r>
    </w:p>
    <w:p w14:paraId="2CC42A0B" w14:textId="77777777" w:rsidR="002E6080" w:rsidRPr="002E6080" w:rsidRDefault="002E6080" w:rsidP="000B5581">
      <w:pPr>
        <w:spacing w:after="60"/>
        <w:jc w:val="both"/>
        <w:rPr>
          <w:rFonts w:cs="Times New Roman"/>
          <w:sz w:val="10"/>
          <w:szCs w:val="10"/>
        </w:rPr>
      </w:pPr>
    </w:p>
    <w:p w14:paraId="19CC6F2F" w14:textId="577560C5" w:rsidR="00FC2D89" w:rsidRPr="002A5780" w:rsidRDefault="00FC2D89" w:rsidP="00680A8F">
      <w:pPr>
        <w:shd w:val="clear" w:color="auto" w:fill="B4C6E7" w:themeFill="accent1" w:themeFillTint="66"/>
        <w:spacing w:line="240" w:lineRule="auto"/>
        <w:jc w:val="both"/>
        <w:rPr>
          <w:rFonts w:asciiTheme="majorBidi" w:hAnsiTheme="majorBidi" w:cstheme="majorBidi"/>
          <w:b/>
          <w:bCs/>
          <w:sz w:val="28"/>
          <w:szCs w:val="28"/>
          <w:lang w:val="en-US"/>
        </w:rPr>
      </w:pPr>
      <w:r w:rsidRPr="002A5780">
        <w:rPr>
          <w:rFonts w:asciiTheme="majorBidi" w:hAnsiTheme="majorBidi" w:cstheme="majorBidi"/>
          <w:b/>
          <w:bCs/>
          <w:sz w:val="28"/>
          <w:szCs w:val="28"/>
          <w:lang w:val="en-US"/>
        </w:rPr>
        <w:t>Guiding principles</w:t>
      </w:r>
      <w:r w:rsidR="00C814CC" w:rsidRPr="002A5780">
        <w:rPr>
          <w:rFonts w:asciiTheme="majorBidi" w:hAnsiTheme="majorBidi" w:cstheme="majorBidi"/>
          <w:b/>
          <w:bCs/>
          <w:sz w:val="28"/>
          <w:szCs w:val="28"/>
          <w:lang w:val="en-US"/>
        </w:rPr>
        <w:t xml:space="preserve"> of the </w:t>
      </w:r>
      <w:r w:rsidR="00C7672D" w:rsidRPr="002A5780">
        <w:rPr>
          <w:rFonts w:asciiTheme="majorBidi" w:hAnsiTheme="majorBidi" w:cstheme="majorBidi"/>
          <w:b/>
          <w:bCs/>
          <w:sz w:val="28"/>
          <w:szCs w:val="28"/>
          <w:lang w:val="en-US"/>
        </w:rPr>
        <w:t>S</w:t>
      </w:r>
      <w:r w:rsidR="00C814CC" w:rsidRPr="002A5780">
        <w:rPr>
          <w:rFonts w:asciiTheme="majorBidi" w:hAnsiTheme="majorBidi" w:cstheme="majorBidi"/>
          <w:b/>
          <w:bCs/>
          <w:sz w:val="28"/>
          <w:szCs w:val="28"/>
          <w:lang w:val="en-US"/>
        </w:rPr>
        <w:t xml:space="preserve">ystem-wide Implementation </w:t>
      </w:r>
      <w:r w:rsidR="00C7672D" w:rsidRPr="002A5780">
        <w:rPr>
          <w:rFonts w:asciiTheme="majorBidi" w:hAnsiTheme="majorBidi" w:cstheme="majorBidi"/>
          <w:b/>
          <w:bCs/>
          <w:sz w:val="28"/>
          <w:szCs w:val="28"/>
          <w:lang w:val="en-US"/>
        </w:rPr>
        <w:t>Strategy on PSEA</w:t>
      </w:r>
    </w:p>
    <w:p w14:paraId="52D20A95" w14:textId="77777777" w:rsidR="00FC2D89" w:rsidRPr="002E6080" w:rsidRDefault="00FC2D89" w:rsidP="005F7972">
      <w:pPr>
        <w:spacing w:line="240" w:lineRule="auto"/>
        <w:jc w:val="both"/>
        <w:rPr>
          <w:rFonts w:asciiTheme="majorBidi" w:hAnsiTheme="majorBidi" w:cstheme="majorBidi"/>
          <w:sz w:val="10"/>
          <w:szCs w:val="10"/>
          <w:lang w:val="en-US"/>
        </w:rPr>
      </w:pPr>
    </w:p>
    <w:p w14:paraId="20D7EB65" w14:textId="57B3F282" w:rsidR="00415D68" w:rsidRPr="002E6080" w:rsidRDefault="004819F0" w:rsidP="005F7972">
      <w:pPr>
        <w:spacing w:line="240" w:lineRule="auto"/>
        <w:ind w:left="2880" w:hanging="2880"/>
        <w:jc w:val="both"/>
        <w:rPr>
          <w:rFonts w:asciiTheme="majorBidi" w:hAnsiTheme="majorBidi" w:cstheme="majorBidi"/>
          <w:i/>
          <w:iCs/>
          <w:color w:val="0070C0"/>
          <w:lang w:val="en-US"/>
        </w:rPr>
      </w:pPr>
      <w:r w:rsidRPr="002E6080">
        <w:rPr>
          <w:rFonts w:asciiTheme="majorBidi" w:hAnsiTheme="majorBidi" w:cstheme="majorBidi"/>
          <w:b/>
          <w:bCs/>
          <w:i/>
          <w:iCs/>
          <w:color w:val="0070C0"/>
          <w:lang w:val="en-US"/>
        </w:rPr>
        <w:t>System-wide action</w:t>
      </w:r>
    </w:p>
    <w:p w14:paraId="2CF23863" w14:textId="70CD592D" w:rsidR="007B76AB" w:rsidRPr="002E6080" w:rsidRDefault="004819F0" w:rsidP="00415D68">
      <w:pPr>
        <w:pStyle w:val="ListParagraph"/>
        <w:numPr>
          <w:ilvl w:val="0"/>
          <w:numId w:val="12"/>
        </w:numPr>
        <w:spacing w:line="240" w:lineRule="auto"/>
        <w:ind w:left="3119"/>
        <w:jc w:val="both"/>
        <w:rPr>
          <w:rFonts w:asciiTheme="majorBidi" w:hAnsiTheme="majorBidi" w:cstheme="majorBidi"/>
          <w:color w:val="0070C0"/>
          <w:sz w:val="21"/>
          <w:szCs w:val="21"/>
          <w:lang w:val="en-US"/>
        </w:rPr>
      </w:pPr>
      <w:r w:rsidRPr="002E6080">
        <w:rPr>
          <w:rFonts w:asciiTheme="majorBidi" w:hAnsiTheme="majorBidi" w:cstheme="majorBidi"/>
          <w:sz w:val="21"/>
          <w:szCs w:val="21"/>
          <w:lang w:val="en-US"/>
        </w:rPr>
        <w:t xml:space="preserve">system wide approach </w:t>
      </w:r>
      <w:r w:rsidR="00E74FD4" w:rsidRPr="002E6080">
        <w:rPr>
          <w:rFonts w:asciiTheme="majorBidi" w:hAnsiTheme="majorBidi" w:cstheme="majorBidi"/>
          <w:sz w:val="21"/>
          <w:szCs w:val="21"/>
          <w:lang w:val="en-US"/>
        </w:rPr>
        <w:t>in</w:t>
      </w:r>
      <w:r w:rsidRPr="002E6080">
        <w:rPr>
          <w:rFonts w:asciiTheme="majorBidi" w:hAnsiTheme="majorBidi" w:cstheme="majorBidi"/>
          <w:sz w:val="21"/>
          <w:szCs w:val="21"/>
          <w:lang w:val="en-US"/>
        </w:rPr>
        <w:t xml:space="preserve"> the humanitarian, development and peace context</w:t>
      </w:r>
    </w:p>
    <w:p w14:paraId="26D4188F" w14:textId="530E2EF8" w:rsidR="004819F0" w:rsidRPr="002E6080" w:rsidRDefault="00415D68" w:rsidP="00415D68">
      <w:pPr>
        <w:pStyle w:val="ListParagraph"/>
        <w:numPr>
          <w:ilvl w:val="0"/>
          <w:numId w:val="12"/>
        </w:numPr>
        <w:spacing w:line="240" w:lineRule="auto"/>
        <w:ind w:left="3119"/>
        <w:jc w:val="both"/>
        <w:rPr>
          <w:rFonts w:asciiTheme="majorBidi" w:hAnsiTheme="majorBidi" w:cstheme="majorBidi"/>
          <w:color w:val="0070C0"/>
          <w:sz w:val="21"/>
          <w:szCs w:val="21"/>
          <w:lang w:val="en-US"/>
        </w:rPr>
      </w:pPr>
      <w:r w:rsidRPr="002E6080">
        <w:rPr>
          <w:rFonts w:asciiTheme="majorBidi" w:hAnsiTheme="majorBidi" w:cstheme="majorBidi"/>
          <w:sz w:val="21"/>
          <w:szCs w:val="21"/>
          <w:lang w:val="en-US"/>
        </w:rPr>
        <w:t>one</w:t>
      </w:r>
      <w:r w:rsidR="004819F0" w:rsidRPr="002E6080">
        <w:rPr>
          <w:rFonts w:asciiTheme="majorBidi" w:hAnsiTheme="majorBidi" w:cstheme="majorBidi"/>
          <w:sz w:val="21"/>
          <w:szCs w:val="21"/>
          <w:lang w:val="en-US"/>
        </w:rPr>
        <w:t xml:space="preserve"> national PSEA TF linking with UNCT, HCT and SMG</w:t>
      </w:r>
    </w:p>
    <w:p w14:paraId="70FB86AE" w14:textId="77777777" w:rsidR="008C35A0" w:rsidRPr="002E6080" w:rsidRDefault="00415D68" w:rsidP="00415D68">
      <w:pPr>
        <w:pStyle w:val="ListParagraph"/>
        <w:numPr>
          <w:ilvl w:val="0"/>
          <w:numId w:val="12"/>
        </w:numPr>
        <w:spacing w:line="240" w:lineRule="auto"/>
        <w:ind w:left="3119"/>
        <w:jc w:val="both"/>
        <w:rPr>
          <w:rFonts w:asciiTheme="majorBidi" w:hAnsiTheme="majorBidi" w:cstheme="majorBidi"/>
          <w:color w:val="0070C0"/>
          <w:sz w:val="21"/>
          <w:szCs w:val="21"/>
          <w:lang w:val="en-US"/>
        </w:rPr>
      </w:pPr>
      <w:r w:rsidRPr="002E6080">
        <w:rPr>
          <w:rFonts w:asciiTheme="majorBidi" w:hAnsiTheme="majorBidi" w:cstheme="majorBidi"/>
          <w:sz w:val="21"/>
          <w:szCs w:val="21"/>
          <w:lang w:val="en-US"/>
        </w:rPr>
        <w:t>a</w:t>
      </w:r>
      <w:r w:rsidR="004819F0" w:rsidRPr="002E6080">
        <w:rPr>
          <w:rFonts w:asciiTheme="majorBidi" w:hAnsiTheme="majorBidi" w:cstheme="majorBidi"/>
          <w:sz w:val="21"/>
          <w:szCs w:val="21"/>
          <w:lang w:val="en-US"/>
        </w:rPr>
        <w:t xml:space="preserve">pplicable to all organizations in peacekeeping and aid/development </w:t>
      </w:r>
    </w:p>
    <w:p w14:paraId="07456C41" w14:textId="2D6B4C41" w:rsidR="00415D68" w:rsidRPr="002E6080" w:rsidRDefault="004819F0" w:rsidP="005F7972">
      <w:pPr>
        <w:spacing w:line="240" w:lineRule="auto"/>
        <w:ind w:left="2880" w:hanging="2880"/>
        <w:jc w:val="both"/>
        <w:rPr>
          <w:rFonts w:asciiTheme="majorBidi" w:hAnsiTheme="majorBidi" w:cstheme="majorBidi"/>
          <w:i/>
          <w:iCs/>
          <w:color w:val="0070C0"/>
          <w:lang w:val="en-US"/>
        </w:rPr>
      </w:pPr>
      <w:r w:rsidRPr="002E6080">
        <w:rPr>
          <w:rFonts w:asciiTheme="majorBidi" w:hAnsiTheme="majorBidi" w:cstheme="majorBidi"/>
          <w:b/>
          <w:bCs/>
          <w:i/>
          <w:iCs/>
          <w:color w:val="0070C0"/>
          <w:lang w:val="en-US"/>
        </w:rPr>
        <w:t>Victim-centered approach</w:t>
      </w:r>
    </w:p>
    <w:p w14:paraId="5ECCCD89" w14:textId="504F606C" w:rsidR="004819F0" w:rsidRPr="002E6080" w:rsidRDefault="004819F0" w:rsidP="00415D68">
      <w:pPr>
        <w:pStyle w:val="ListParagraph"/>
        <w:numPr>
          <w:ilvl w:val="4"/>
          <w:numId w:val="14"/>
        </w:numPr>
        <w:spacing w:line="240" w:lineRule="auto"/>
        <w:ind w:left="3119"/>
        <w:jc w:val="both"/>
        <w:rPr>
          <w:rFonts w:asciiTheme="majorBidi" w:hAnsiTheme="majorBidi" w:cstheme="majorBidi"/>
          <w:color w:val="0070C0"/>
          <w:sz w:val="21"/>
          <w:szCs w:val="21"/>
          <w:lang w:val="en-US"/>
        </w:rPr>
      </w:pPr>
      <w:r w:rsidRPr="002E6080">
        <w:rPr>
          <w:rFonts w:asciiTheme="majorBidi" w:hAnsiTheme="majorBidi" w:cstheme="majorBidi"/>
          <w:sz w:val="21"/>
          <w:szCs w:val="21"/>
          <w:lang w:val="en-US"/>
        </w:rPr>
        <w:t>respect for</w:t>
      </w:r>
      <w:r w:rsidR="00AF52B2" w:rsidRPr="002E6080">
        <w:rPr>
          <w:rFonts w:asciiTheme="majorBidi" w:hAnsiTheme="majorBidi" w:cstheme="majorBidi"/>
          <w:sz w:val="21"/>
          <w:szCs w:val="21"/>
          <w:lang w:val="en-US"/>
        </w:rPr>
        <w:t xml:space="preserve"> victim’s </w:t>
      </w:r>
      <w:r w:rsidRPr="002E6080">
        <w:rPr>
          <w:rFonts w:asciiTheme="majorBidi" w:hAnsiTheme="majorBidi" w:cstheme="majorBidi"/>
          <w:sz w:val="21"/>
          <w:szCs w:val="21"/>
          <w:lang w:val="en-US"/>
        </w:rPr>
        <w:t>choices, rights and dignity</w:t>
      </w:r>
      <w:r w:rsidR="00EF0F6C" w:rsidRPr="002E6080">
        <w:rPr>
          <w:rFonts w:asciiTheme="majorBidi" w:hAnsiTheme="majorBidi" w:cstheme="majorBidi"/>
          <w:sz w:val="21"/>
          <w:szCs w:val="21"/>
          <w:lang w:val="en-US"/>
        </w:rPr>
        <w:t xml:space="preserve">, confidentiality </w:t>
      </w:r>
    </w:p>
    <w:p w14:paraId="5A6CD8C9" w14:textId="4029D08D" w:rsidR="004819F0" w:rsidRPr="002E6080" w:rsidRDefault="00415D68" w:rsidP="00415D68">
      <w:pPr>
        <w:pStyle w:val="ListParagraph"/>
        <w:numPr>
          <w:ilvl w:val="4"/>
          <w:numId w:val="14"/>
        </w:numPr>
        <w:spacing w:line="240" w:lineRule="auto"/>
        <w:ind w:left="3119"/>
        <w:jc w:val="both"/>
        <w:rPr>
          <w:rFonts w:asciiTheme="majorBidi" w:hAnsiTheme="majorBidi" w:cstheme="majorBidi"/>
          <w:color w:val="0070C0"/>
          <w:sz w:val="21"/>
          <w:szCs w:val="21"/>
          <w:lang w:val="en-US"/>
        </w:rPr>
      </w:pPr>
      <w:r w:rsidRPr="002E6080">
        <w:rPr>
          <w:rFonts w:asciiTheme="majorBidi" w:hAnsiTheme="majorBidi" w:cstheme="majorBidi"/>
          <w:sz w:val="21"/>
          <w:szCs w:val="21"/>
          <w:lang w:val="en-US"/>
        </w:rPr>
        <w:t>co</w:t>
      </w:r>
      <w:r w:rsidR="00503BFD" w:rsidRPr="002E6080">
        <w:rPr>
          <w:rFonts w:asciiTheme="majorBidi" w:hAnsiTheme="majorBidi" w:cstheme="majorBidi"/>
          <w:sz w:val="21"/>
          <w:szCs w:val="21"/>
          <w:lang w:val="en-US"/>
        </w:rPr>
        <w:t>mplaints mechanism</w:t>
      </w:r>
      <w:r w:rsidR="000769A0" w:rsidRPr="002E6080">
        <w:rPr>
          <w:rFonts w:asciiTheme="majorBidi" w:hAnsiTheme="majorBidi" w:cstheme="majorBidi"/>
          <w:sz w:val="21"/>
          <w:szCs w:val="21"/>
          <w:lang w:val="en-US"/>
        </w:rPr>
        <w:t>s</w:t>
      </w:r>
      <w:r w:rsidR="00503BFD" w:rsidRPr="002E6080">
        <w:rPr>
          <w:rFonts w:asciiTheme="majorBidi" w:hAnsiTheme="majorBidi" w:cstheme="majorBidi"/>
          <w:sz w:val="21"/>
          <w:szCs w:val="21"/>
          <w:lang w:val="en-US"/>
        </w:rPr>
        <w:t xml:space="preserve"> consider</w:t>
      </w:r>
      <w:r w:rsidR="0094067A" w:rsidRPr="002E6080">
        <w:rPr>
          <w:rFonts w:asciiTheme="majorBidi" w:hAnsiTheme="majorBidi" w:cstheme="majorBidi"/>
          <w:sz w:val="21"/>
          <w:szCs w:val="21"/>
          <w:lang w:val="en-US"/>
        </w:rPr>
        <w:t>ing</w:t>
      </w:r>
      <w:r w:rsidR="00503BFD" w:rsidRPr="002E6080">
        <w:rPr>
          <w:rFonts w:asciiTheme="majorBidi" w:hAnsiTheme="majorBidi" w:cstheme="majorBidi"/>
          <w:sz w:val="21"/>
          <w:szCs w:val="21"/>
          <w:lang w:val="en-US"/>
        </w:rPr>
        <w:t xml:space="preserve"> potential risks to all parties involved</w:t>
      </w:r>
    </w:p>
    <w:p w14:paraId="500AFAD5" w14:textId="4881513B" w:rsidR="00574E86" w:rsidRPr="002E6080" w:rsidRDefault="00AF52B2" w:rsidP="00415D68">
      <w:pPr>
        <w:pStyle w:val="ListParagraph"/>
        <w:numPr>
          <w:ilvl w:val="4"/>
          <w:numId w:val="14"/>
        </w:numPr>
        <w:spacing w:line="240" w:lineRule="auto"/>
        <w:ind w:left="3119"/>
        <w:jc w:val="both"/>
        <w:rPr>
          <w:rFonts w:asciiTheme="majorBidi" w:hAnsiTheme="majorBidi" w:cstheme="majorBidi"/>
          <w:color w:val="0070C0"/>
          <w:sz w:val="21"/>
          <w:szCs w:val="21"/>
          <w:lang w:val="en-US"/>
        </w:rPr>
      </w:pPr>
      <w:r w:rsidRPr="002E6080">
        <w:rPr>
          <w:rFonts w:asciiTheme="majorBidi" w:hAnsiTheme="majorBidi" w:cstheme="majorBidi"/>
          <w:sz w:val="21"/>
          <w:szCs w:val="21"/>
          <w:lang w:val="en-US"/>
        </w:rPr>
        <w:t xml:space="preserve">accessible and available </w:t>
      </w:r>
      <w:r w:rsidR="00415D68" w:rsidRPr="002E6080">
        <w:rPr>
          <w:rFonts w:asciiTheme="majorBidi" w:hAnsiTheme="majorBidi" w:cstheme="majorBidi"/>
          <w:sz w:val="21"/>
          <w:szCs w:val="21"/>
          <w:lang w:val="en-US"/>
        </w:rPr>
        <w:t>c</w:t>
      </w:r>
      <w:r w:rsidR="00574E86" w:rsidRPr="002E6080">
        <w:rPr>
          <w:rFonts w:asciiTheme="majorBidi" w:hAnsiTheme="majorBidi" w:cstheme="majorBidi"/>
          <w:sz w:val="21"/>
          <w:szCs w:val="21"/>
          <w:lang w:val="en-US"/>
        </w:rPr>
        <w:t>omplaints mechanisms</w:t>
      </w:r>
    </w:p>
    <w:p w14:paraId="704A7B90" w14:textId="08592A17" w:rsidR="00415D68" w:rsidRPr="002E6080" w:rsidRDefault="00574E86" w:rsidP="005F7972">
      <w:pPr>
        <w:spacing w:line="240" w:lineRule="auto"/>
        <w:ind w:left="2880" w:hanging="2880"/>
        <w:jc w:val="both"/>
        <w:rPr>
          <w:rFonts w:asciiTheme="majorBidi" w:hAnsiTheme="majorBidi" w:cstheme="majorBidi"/>
          <w:b/>
          <w:bCs/>
          <w:i/>
          <w:iCs/>
          <w:color w:val="0070C0"/>
        </w:rPr>
      </w:pPr>
      <w:r w:rsidRPr="002E6080">
        <w:rPr>
          <w:rFonts w:asciiTheme="majorBidi" w:hAnsiTheme="majorBidi" w:cstheme="majorBidi"/>
          <w:b/>
          <w:bCs/>
          <w:i/>
          <w:iCs/>
          <w:color w:val="0070C0"/>
        </w:rPr>
        <w:t>Zero Tolerance for SEA</w:t>
      </w:r>
    </w:p>
    <w:p w14:paraId="6E00769B" w14:textId="726EC6FE" w:rsidR="00363837" w:rsidRPr="002E6080" w:rsidRDefault="00363837" w:rsidP="00415D68">
      <w:pPr>
        <w:pStyle w:val="ListParagraph"/>
        <w:numPr>
          <w:ilvl w:val="4"/>
          <w:numId w:val="16"/>
        </w:numPr>
        <w:spacing w:line="240" w:lineRule="auto"/>
        <w:ind w:left="3119"/>
        <w:jc w:val="both"/>
        <w:rPr>
          <w:rFonts w:asciiTheme="majorBidi" w:hAnsiTheme="majorBidi" w:cstheme="majorBidi"/>
          <w:color w:val="0070C0"/>
          <w:sz w:val="21"/>
          <w:szCs w:val="21"/>
        </w:rPr>
      </w:pPr>
      <w:r w:rsidRPr="002E6080">
        <w:rPr>
          <w:rFonts w:asciiTheme="majorBidi" w:hAnsiTheme="majorBidi" w:cstheme="majorBidi"/>
          <w:sz w:val="21"/>
          <w:szCs w:val="21"/>
        </w:rPr>
        <w:t>highest standards of conduct for all humanitarian, development and peacekeeping personnel</w:t>
      </w:r>
    </w:p>
    <w:p w14:paraId="466D8CE7" w14:textId="1CAF8327" w:rsidR="00F20B29" w:rsidRPr="002E6080" w:rsidRDefault="00680A8F" w:rsidP="00415D68">
      <w:pPr>
        <w:pStyle w:val="ListParagraph"/>
        <w:numPr>
          <w:ilvl w:val="4"/>
          <w:numId w:val="16"/>
        </w:numPr>
        <w:spacing w:line="240" w:lineRule="auto"/>
        <w:ind w:left="3119"/>
        <w:jc w:val="both"/>
        <w:rPr>
          <w:rFonts w:asciiTheme="majorBidi" w:hAnsiTheme="majorBidi" w:cstheme="majorBidi"/>
          <w:color w:val="0070C0"/>
          <w:sz w:val="21"/>
          <w:szCs w:val="21"/>
        </w:rPr>
      </w:pPr>
      <w:r w:rsidRPr="002E6080">
        <w:rPr>
          <w:rFonts w:asciiTheme="majorBidi" w:hAnsiTheme="majorBidi" w:cstheme="majorBidi"/>
          <w:sz w:val="21"/>
          <w:szCs w:val="21"/>
        </w:rPr>
        <w:t>no tolerance for SEA</w:t>
      </w:r>
      <w:r w:rsidR="00F20B29" w:rsidRPr="002E6080">
        <w:rPr>
          <w:rFonts w:asciiTheme="majorBidi" w:hAnsiTheme="majorBidi" w:cstheme="majorBidi"/>
          <w:sz w:val="21"/>
          <w:szCs w:val="21"/>
        </w:rPr>
        <w:t xml:space="preserve"> with minors, transactional sexual relationship with any vulnerable group</w:t>
      </w:r>
      <w:r w:rsidR="00E2767F" w:rsidRPr="002E6080">
        <w:rPr>
          <w:rFonts w:asciiTheme="majorBidi" w:hAnsiTheme="majorBidi" w:cstheme="majorBidi"/>
          <w:sz w:val="21"/>
          <w:szCs w:val="21"/>
        </w:rPr>
        <w:t xml:space="preserve"> or any other form of SEA </w:t>
      </w:r>
    </w:p>
    <w:p w14:paraId="371FBCDE" w14:textId="2906515A" w:rsidR="00F20B29" w:rsidRPr="002E6080" w:rsidRDefault="00415D68" w:rsidP="00415D68">
      <w:pPr>
        <w:pStyle w:val="ListParagraph"/>
        <w:numPr>
          <w:ilvl w:val="4"/>
          <w:numId w:val="16"/>
        </w:numPr>
        <w:spacing w:line="240" w:lineRule="auto"/>
        <w:ind w:left="3119"/>
        <w:jc w:val="both"/>
        <w:rPr>
          <w:rFonts w:asciiTheme="majorBidi" w:hAnsiTheme="majorBidi" w:cstheme="majorBidi"/>
          <w:color w:val="0070C0"/>
          <w:sz w:val="21"/>
          <w:szCs w:val="21"/>
        </w:rPr>
      </w:pPr>
      <w:r w:rsidRPr="002E6080">
        <w:rPr>
          <w:rFonts w:asciiTheme="majorBidi" w:hAnsiTheme="majorBidi" w:cstheme="majorBidi"/>
          <w:sz w:val="21"/>
          <w:szCs w:val="21"/>
        </w:rPr>
        <w:t>e</w:t>
      </w:r>
      <w:r w:rsidR="00CD5911" w:rsidRPr="002E6080">
        <w:rPr>
          <w:rFonts w:asciiTheme="majorBidi" w:hAnsiTheme="majorBidi" w:cstheme="majorBidi"/>
          <w:sz w:val="21"/>
          <w:szCs w:val="21"/>
        </w:rPr>
        <w:t>nd of impunity to SEA</w:t>
      </w:r>
    </w:p>
    <w:p w14:paraId="445543E2" w14:textId="77777777" w:rsidR="00CD5911" w:rsidRPr="002E6080" w:rsidRDefault="00CD5911" w:rsidP="005F7972">
      <w:pPr>
        <w:spacing w:line="240" w:lineRule="auto"/>
        <w:jc w:val="both"/>
        <w:rPr>
          <w:rFonts w:asciiTheme="majorBidi" w:hAnsiTheme="majorBidi" w:cstheme="majorBidi"/>
          <w:sz w:val="10"/>
          <w:szCs w:val="10"/>
          <w:lang w:val="en-US"/>
        </w:rPr>
      </w:pPr>
    </w:p>
    <w:p w14:paraId="161A15D6" w14:textId="63395186" w:rsidR="00CD5911" w:rsidRPr="002A5780" w:rsidRDefault="00CD5911" w:rsidP="00680A8F">
      <w:pPr>
        <w:shd w:val="clear" w:color="auto" w:fill="B4C6E7" w:themeFill="accent1" w:themeFillTint="66"/>
        <w:spacing w:line="240" w:lineRule="auto"/>
        <w:jc w:val="both"/>
        <w:rPr>
          <w:rFonts w:asciiTheme="majorBidi" w:hAnsiTheme="majorBidi" w:cstheme="majorBidi"/>
          <w:b/>
          <w:bCs/>
          <w:sz w:val="28"/>
          <w:szCs w:val="28"/>
          <w:lang w:val="en-US"/>
        </w:rPr>
      </w:pPr>
      <w:r w:rsidRPr="002A5780">
        <w:rPr>
          <w:rFonts w:asciiTheme="majorBidi" w:hAnsiTheme="majorBidi" w:cstheme="majorBidi"/>
          <w:b/>
          <w:bCs/>
          <w:sz w:val="28"/>
          <w:szCs w:val="28"/>
          <w:lang w:val="en-US"/>
        </w:rPr>
        <w:t xml:space="preserve">Elements of the </w:t>
      </w:r>
      <w:r w:rsidR="00C7672D" w:rsidRPr="002A5780">
        <w:rPr>
          <w:rFonts w:asciiTheme="majorBidi" w:hAnsiTheme="majorBidi" w:cstheme="majorBidi"/>
          <w:b/>
          <w:bCs/>
          <w:sz w:val="28"/>
          <w:szCs w:val="28"/>
          <w:lang w:val="en-US"/>
        </w:rPr>
        <w:t>System-wide Implementation Strategy on PSEA</w:t>
      </w:r>
    </w:p>
    <w:p w14:paraId="01C47954" w14:textId="77777777" w:rsidR="00CD5911" w:rsidRPr="002E6080" w:rsidRDefault="00CD5911" w:rsidP="005F7972">
      <w:pPr>
        <w:spacing w:line="240" w:lineRule="auto"/>
        <w:jc w:val="both"/>
        <w:rPr>
          <w:rFonts w:asciiTheme="majorBidi" w:hAnsiTheme="majorBidi" w:cstheme="majorBidi"/>
          <w:sz w:val="10"/>
          <w:szCs w:val="10"/>
          <w:lang w:val="en-US"/>
        </w:rPr>
      </w:pPr>
    </w:p>
    <w:p w14:paraId="37D3BAE4" w14:textId="4915B322" w:rsidR="004819F0" w:rsidRPr="00680A8F" w:rsidRDefault="00B9110C" w:rsidP="00013D9D">
      <w:pPr>
        <w:shd w:val="clear" w:color="auto" w:fill="D9E2F3" w:themeFill="accent1" w:themeFillTint="33"/>
        <w:spacing w:line="240" w:lineRule="auto"/>
        <w:jc w:val="both"/>
        <w:rPr>
          <w:rFonts w:asciiTheme="majorBidi" w:hAnsiTheme="majorBidi" w:cstheme="majorBidi"/>
          <w:b/>
          <w:bCs/>
          <w:i/>
          <w:iCs/>
          <w:sz w:val="24"/>
          <w:szCs w:val="24"/>
        </w:rPr>
      </w:pPr>
      <w:r w:rsidRPr="00680A8F">
        <w:rPr>
          <w:rFonts w:asciiTheme="majorBidi" w:hAnsiTheme="majorBidi" w:cstheme="majorBidi"/>
          <w:b/>
          <w:bCs/>
          <w:i/>
          <w:iCs/>
          <w:sz w:val="24"/>
          <w:szCs w:val="24"/>
        </w:rPr>
        <w:t>Substantive/</w:t>
      </w:r>
      <w:r w:rsidR="0052187C" w:rsidRPr="00680A8F">
        <w:rPr>
          <w:rFonts w:asciiTheme="majorBidi" w:hAnsiTheme="majorBidi" w:cstheme="majorBidi"/>
          <w:b/>
          <w:bCs/>
          <w:i/>
          <w:iCs/>
          <w:sz w:val="24"/>
          <w:szCs w:val="24"/>
        </w:rPr>
        <w:t>programmatic elements</w:t>
      </w:r>
    </w:p>
    <w:p w14:paraId="5EBDF64D" w14:textId="0E0333E4" w:rsidR="0052187C" w:rsidRPr="002E6080" w:rsidRDefault="0052187C" w:rsidP="005F7972">
      <w:pPr>
        <w:spacing w:line="240" w:lineRule="auto"/>
        <w:jc w:val="both"/>
        <w:rPr>
          <w:rFonts w:asciiTheme="majorBidi" w:hAnsiTheme="majorBidi" w:cstheme="majorBidi"/>
          <w:sz w:val="10"/>
          <w:szCs w:val="10"/>
        </w:rPr>
      </w:pPr>
    </w:p>
    <w:p w14:paraId="2BEA7D48" w14:textId="54238385" w:rsidR="0052187C" w:rsidRPr="002E6080" w:rsidRDefault="0052187C" w:rsidP="00664EFD">
      <w:pPr>
        <w:pStyle w:val="ListParagraph"/>
        <w:numPr>
          <w:ilvl w:val="0"/>
          <w:numId w:val="25"/>
        </w:numPr>
        <w:spacing w:line="240" w:lineRule="auto"/>
        <w:ind w:left="426"/>
        <w:jc w:val="both"/>
        <w:rPr>
          <w:rFonts w:asciiTheme="majorBidi" w:hAnsiTheme="majorBidi" w:cstheme="majorBidi"/>
          <w:b/>
          <w:bCs/>
          <w:color w:val="0070C0"/>
          <w:sz w:val="21"/>
          <w:szCs w:val="21"/>
        </w:rPr>
      </w:pPr>
      <w:r w:rsidRPr="002E6080">
        <w:rPr>
          <w:rFonts w:asciiTheme="majorBidi" w:hAnsiTheme="majorBidi" w:cstheme="majorBidi"/>
          <w:sz w:val="21"/>
          <w:szCs w:val="21"/>
        </w:rPr>
        <w:t>SEA risk identification and risk management</w:t>
      </w:r>
    </w:p>
    <w:p w14:paraId="0AE1FED7" w14:textId="6C1657FC" w:rsidR="0052187C" w:rsidRPr="002E6080" w:rsidRDefault="0052187C" w:rsidP="00664EFD">
      <w:pPr>
        <w:pStyle w:val="ListParagraph"/>
        <w:numPr>
          <w:ilvl w:val="0"/>
          <w:numId w:val="25"/>
        </w:numPr>
        <w:spacing w:line="240" w:lineRule="auto"/>
        <w:ind w:left="426"/>
        <w:jc w:val="both"/>
        <w:rPr>
          <w:rFonts w:asciiTheme="majorBidi" w:hAnsiTheme="majorBidi" w:cstheme="majorBidi"/>
          <w:b/>
          <w:bCs/>
          <w:color w:val="0070C0"/>
          <w:sz w:val="21"/>
          <w:szCs w:val="21"/>
        </w:rPr>
      </w:pPr>
      <w:r w:rsidRPr="002E6080">
        <w:rPr>
          <w:rFonts w:asciiTheme="majorBidi" w:hAnsiTheme="majorBidi" w:cstheme="majorBidi"/>
          <w:sz w:val="21"/>
          <w:szCs w:val="21"/>
        </w:rPr>
        <w:t>Prevention of SEA</w:t>
      </w:r>
    </w:p>
    <w:p w14:paraId="303A51B7" w14:textId="7D9B23BD" w:rsidR="0052187C" w:rsidRPr="002E6080" w:rsidRDefault="0052187C" w:rsidP="00664EFD">
      <w:pPr>
        <w:pStyle w:val="ListParagraph"/>
        <w:numPr>
          <w:ilvl w:val="0"/>
          <w:numId w:val="25"/>
        </w:numPr>
        <w:spacing w:line="240" w:lineRule="auto"/>
        <w:ind w:left="426"/>
        <w:jc w:val="both"/>
        <w:rPr>
          <w:rFonts w:asciiTheme="majorBidi" w:hAnsiTheme="majorBidi" w:cstheme="majorBidi"/>
          <w:b/>
          <w:bCs/>
          <w:color w:val="0070C0"/>
          <w:sz w:val="21"/>
          <w:szCs w:val="21"/>
        </w:rPr>
      </w:pPr>
      <w:r w:rsidRPr="002E6080">
        <w:rPr>
          <w:rFonts w:asciiTheme="majorBidi" w:hAnsiTheme="majorBidi" w:cstheme="majorBidi"/>
          <w:sz w:val="21"/>
          <w:szCs w:val="21"/>
        </w:rPr>
        <w:t>SEA reporting and response incl. victims’ assistance</w:t>
      </w:r>
    </w:p>
    <w:p w14:paraId="34D25158" w14:textId="6A032B30" w:rsidR="0052187C" w:rsidRPr="002E6080" w:rsidRDefault="0052187C" w:rsidP="00664EFD">
      <w:pPr>
        <w:pStyle w:val="ListParagraph"/>
        <w:numPr>
          <w:ilvl w:val="0"/>
          <w:numId w:val="25"/>
        </w:numPr>
        <w:spacing w:line="240" w:lineRule="auto"/>
        <w:ind w:left="426"/>
        <w:jc w:val="both"/>
        <w:rPr>
          <w:rFonts w:asciiTheme="majorBidi" w:hAnsiTheme="majorBidi" w:cstheme="majorBidi"/>
          <w:b/>
          <w:bCs/>
          <w:color w:val="0070C0"/>
          <w:sz w:val="21"/>
          <w:szCs w:val="21"/>
        </w:rPr>
      </w:pPr>
      <w:r w:rsidRPr="002E6080">
        <w:rPr>
          <w:rFonts w:asciiTheme="majorBidi" w:hAnsiTheme="majorBidi" w:cstheme="majorBidi"/>
          <w:sz w:val="21"/>
          <w:szCs w:val="21"/>
        </w:rPr>
        <w:t>Enforcement and compliance with standards/policies on PSEA</w:t>
      </w:r>
    </w:p>
    <w:p w14:paraId="169CAFE6" w14:textId="7B04C1BB" w:rsidR="0052187C" w:rsidRPr="002E6080" w:rsidRDefault="0052187C" w:rsidP="00664EFD">
      <w:pPr>
        <w:pStyle w:val="ListParagraph"/>
        <w:numPr>
          <w:ilvl w:val="0"/>
          <w:numId w:val="25"/>
        </w:numPr>
        <w:spacing w:line="240" w:lineRule="auto"/>
        <w:ind w:left="426"/>
        <w:jc w:val="both"/>
        <w:rPr>
          <w:rFonts w:asciiTheme="majorBidi" w:hAnsiTheme="majorBidi" w:cstheme="majorBidi"/>
          <w:b/>
          <w:bCs/>
          <w:color w:val="0070C0"/>
          <w:sz w:val="21"/>
          <w:szCs w:val="21"/>
        </w:rPr>
      </w:pPr>
      <w:r w:rsidRPr="002E6080">
        <w:rPr>
          <w:rFonts w:asciiTheme="majorBidi" w:hAnsiTheme="majorBidi" w:cstheme="majorBidi"/>
          <w:sz w:val="21"/>
          <w:szCs w:val="21"/>
        </w:rPr>
        <w:lastRenderedPageBreak/>
        <w:t>Strengthened coordination</w:t>
      </w:r>
    </w:p>
    <w:p w14:paraId="008919C4" w14:textId="77777777" w:rsidR="005A3C71" w:rsidRPr="002E6080" w:rsidRDefault="005A3C71" w:rsidP="00013D9D">
      <w:pPr>
        <w:spacing w:line="240" w:lineRule="auto"/>
        <w:ind w:right="-142"/>
        <w:jc w:val="both"/>
        <w:rPr>
          <w:rFonts w:asciiTheme="majorBidi" w:hAnsiTheme="majorBidi" w:cstheme="majorBidi"/>
          <w:sz w:val="10"/>
          <w:szCs w:val="10"/>
        </w:rPr>
      </w:pPr>
    </w:p>
    <w:tbl>
      <w:tblPr>
        <w:tblW w:w="1002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gridCol w:w="6825"/>
      </w:tblGrid>
      <w:tr w:rsidR="00506057" w:rsidRPr="002E6080" w14:paraId="33154B0E" w14:textId="77777777" w:rsidTr="00E673A7">
        <w:trPr>
          <w:trHeight w:val="210"/>
        </w:trPr>
        <w:tc>
          <w:tcPr>
            <w:tcW w:w="3195" w:type="dxa"/>
            <w:tcBorders>
              <w:top w:val="single" w:sz="18" w:space="0" w:color="FFFFFF" w:themeColor="background1"/>
              <w:left w:val="single" w:sz="18" w:space="0" w:color="0070C0"/>
              <w:bottom w:val="single" w:sz="24" w:space="0" w:color="4472C4"/>
              <w:right w:val="single" w:sz="18" w:space="0" w:color="FFFFFF"/>
            </w:tcBorders>
            <w:shd w:val="clear" w:color="auto" w:fill="E8EEF8"/>
          </w:tcPr>
          <w:p w14:paraId="37CF603B" w14:textId="77777777" w:rsidR="00370644" w:rsidRPr="002E6080" w:rsidRDefault="00370644" w:rsidP="00706487">
            <w:pPr>
              <w:spacing w:line="240" w:lineRule="auto"/>
              <w:rPr>
                <w:rFonts w:asciiTheme="majorBidi" w:hAnsiTheme="majorBidi" w:cstheme="majorBidi"/>
                <w:sz w:val="21"/>
                <w:szCs w:val="21"/>
              </w:rPr>
            </w:pPr>
            <w:r w:rsidRPr="002E6080">
              <w:rPr>
                <w:rFonts w:asciiTheme="majorBidi" w:hAnsiTheme="majorBidi" w:cstheme="majorBidi"/>
                <w:b/>
                <w:bCs/>
                <w:sz w:val="21"/>
                <w:szCs w:val="21"/>
              </w:rPr>
              <w:t>Output 1:</w:t>
            </w:r>
          </w:p>
          <w:p w14:paraId="058A612C" w14:textId="29AB7866" w:rsidR="00506057" w:rsidRPr="002E6080" w:rsidRDefault="00370644" w:rsidP="00706487">
            <w:pPr>
              <w:spacing w:line="240" w:lineRule="auto"/>
              <w:rPr>
                <w:rFonts w:asciiTheme="majorBidi" w:hAnsiTheme="majorBidi" w:cstheme="majorBidi"/>
                <w:sz w:val="21"/>
                <w:szCs w:val="21"/>
              </w:rPr>
            </w:pPr>
            <w:r w:rsidRPr="002E6080">
              <w:rPr>
                <w:rFonts w:asciiTheme="majorBidi" w:hAnsiTheme="majorBidi" w:cstheme="majorBidi"/>
                <w:b/>
                <w:bCs/>
                <w:i/>
                <w:iCs/>
                <w:sz w:val="21"/>
                <w:szCs w:val="21"/>
              </w:rPr>
              <w:t xml:space="preserve">Risks of SEA </w:t>
            </w:r>
            <w:proofErr w:type="gramStart"/>
            <w:r w:rsidRPr="002E6080">
              <w:rPr>
                <w:rFonts w:asciiTheme="majorBidi" w:hAnsiTheme="majorBidi" w:cstheme="majorBidi"/>
                <w:b/>
                <w:bCs/>
                <w:i/>
                <w:iCs/>
                <w:sz w:val="21"/>
                <w:szCs w:val="21"/>
              </w:rPr>
              <w:t>reduced</w:t>
            </w:r>
            <w:proofErr w:type="gramEnd"/>
            <w:r w:rsidRPr="002E6080">
              <w:rPr>
                <w:rFonts w:asciiTheme="majorBidi" w:hAnsiTheme="majorBidi" w:cstheme="majorBidi"/>
                <w:b/>
                <w:bCs/>
                <w:i/>
                <w:iCs/>
                <w:sz w:val="21"/>
                <w:szCs w:val="21"/>
              </w:rPr>
              <w:t xml:space="preserve"> and systems strengthened to identify manage and mitigate SEA risks</w:t>
            </w:r>
          </w:p>
        </w:tc>
        <w:tc>
          <w:tcPr>
            <w:tcW w:w="6825" w:type="dxa"/>
            <w:tcBorders>
              <w:top w:val="single" w:sz="18" w:space="0" w:color="FFFFFF"/>
              <w:left w:val="single" w:sz="18" w:space="0" w:color="FFFFFF"/>
              <w:bottom w:val="single" w:sz="24" w:space="0" w:color="4472C4"/>
              <w:right w:val="single" w:sz="18" w:space="0" w:color="FFFFFF"/>
            </w:tcBorders>
          </w:tcPr>
          <w:p w14:paraId="4CDA7F04" w14:textId="004AAA95" w:rsidR="00370644" w:rsidRPr="002E6080" w:rsidRDefault="00370644" w:rsidP="008033A9">
            <w:pPr>
              <w:pStyle w:val="ListParagraph"/>
              <w:numPr>
                <w:ilvl w:val="0"/>
                <w:numId w:val="20"/>
              </w:numPr>
              <w:spacing w:line="240" w:lineRule="auto"/>
              <w:ind w:left="312" w:hanging="312"/>
              <w:jc w:val="both"/>
              <w:rPr>
                <w:rFonts w:asciiTheme="majorBidi" w:hAnsiTheme="majorBidi" w:cstheme="majorBidi"/>
                <w:color w:val="0070C0"/>
                <w:sz w:val="21"/>
                <w:szCs w:val="21"/>
              </w:rPr>
            </w:pPr>
            <w:r w:rsidRPr="002E6080">
              <w:rPr>
                <w:rFonts w:asciiTheme="majorBidi" w:hAnsiTheme="majorBidi" w:cstheme="majorBidi"/>
                <w:sz w:val="21"/>
                <w:szCs w:val="21"/>
              </w:rPr>
              <w:t>regular and site-specific context analysis and SEA risk assessment</w:t>
            </w:r>
          </w:p>
          <w:p w14:paraId="75478FFF" w14:textId="4B7EBF1D" w:rsidR="00370644" w:rsidRPr="002E6080" w:rsidRDefault="00370644" w:rsidP="008033A9">
            <w:pPr>
              <w:pStyle w:val="ListParagraph"/>
              <w:numPr>
                <w:ilvl w:val="0"/>
                <w:numId w:val="20"/>
              </w:numPr>
              <w:spacing w:line="240" w:lineRule="auto"/>
              <w:ind w:left="312" w:hanging="312"/>
              <w:jc w:val="both"/>
              <w:rPr>
                <w:rFonts w:asciiTheme="majorBidi" w:hAnsiTheme="majorBidi" w:cstheme="majorBidi"/>
                <w:color w:val="0070C0"/>
                <w:sz w:val="21"/>
                <w:szCs w:val="21"/>
              </w:rPr>
            </w:pPr>
            <w:r w:rsidRPr="002E6080">
              <w:rPr>
                <w:rFonts w:asciiTheme="majorBidi" w:hAnsiTheme="majorBidi" w:cstheme="majorBidi"/>
                <w:sz w:val="21"/>
                <w:szCs w:val="21"/>
              </w:rPr>
              <w:t>risk mapping and develop site specific interventions</w:t>
            </w:r>
          </w:p>
          <w:p w14:paraId="556C17C8" w14:textId="1DB2AB74" w:rsidR="00370644" w:rsidRPr="002E6080" w:rsidRDefault="00370644" w:rsidP="008033A9">
            <w:pPr>
              <w:pStyle w:val="ListParagraph"/>
              <w:numPr>
                <w:ilvl w:val="0"/>
                <w:numId w:val="20"/>
              </w:numPr>
              <w:spacing w:line="240" w:lineRule="auto"/>
              <w:ind w:left="312" w:hanging="312"/>
              <w:jc w:val="both"/>
              <w:rPr>
                <w:rFonts w:asciiTheme="majorBidi" w:hAnsiTheme="majorBidi" w:cstheme="majorBidi"/>
                <w:color w:val="0070C0"/>
                <w:sz w:val="21"/>
                <w:szCs w:val="21"/>
              </w:rPr>
            </w:pPr>
            <w:r w:rsidRPr="002E6080">
              <w:rPr>
                <w:rFonts w:asciiTheme="majorBidi" w:hAnsiTheme="majorBidi" w:cstheme="majorBidi"/>
                <w:sz w:val="21"/>
                <w:szCs w:val="21"/>
              </w:rPr>
              <w:t>regular monitoring of risks and thread analysis</w:t>
            </w:r>
          </w:p>
          <w:p w14:paraId="28BE998C" w14:textId="5F15FCA0" w:rsidR="00506057" w:rsidRPr="002E6080" w:rsidRDefault="00357E03" w:rsidP="00357E03">
            <w:pPr>
              <w:pStyle w:val="ListParagraph"/>
              <w:numPr>
                <w:ilvl w:val="0"/>
                <w:numId w:val="20"/>
              </w:numPr>
              <w:spacing w:line="240" w:lineRule="auto"/>
              <w:ind w:left="312" w:hanging="312"/>
              <w:jc w:val="both"/>
              <w:rPr>
                <w:rFonts w:asciiTheme="majorBidi" w:hAnsiTheme="majorBidi" w:cstheme="majorBidi"/>
                <w:color w:val="0070C0"/>
                <w:sz w:val="21"/>
                <w:szCs w:val="21"/>
              </w:rPr>
            </w:pPr>
            <w:r w:rsidRPr="002E6080">
              <w:rPr>
                <w:rFonts w:asciiTheme="majorBidi" w:hAnsiTheme="majorBidi" w:cstheme="majorBidi"/>
                <w:sz w:val="21"/>
                <w:szCs w:val="21"/>
              </w:rPr>
              <w:t>mainstream PSEA in all programmes, sectors and humanitarian clusters</w:t>
            </w:r>
          </w:p>
        </w:tc>
      </w:tr>
      <w:tr w:rsidR="00506057" w:rsidRPr="002E6080" w14:paraId="0FFF9C65" w14:textId="77777777" w:rsidTr="00E673A7">
        <w:trPr>
          <w:trHeight w:val="270"/>
        </w:trPr>
        <w:tc>
          <w:tcPr>
            <w:tcW w:w="3195" w:type="dxa"/>
            <w:tcBorders>
              <w:top w:val="single" w:sz="24" w:space="0" w:color="4472C4"/>
              <w:left w:val="single" w:sz="18" w:space="0" w:color="0070C0"/>
              <w:bottom w:val="single" w:sz="24" w:space="0" w:color="4472C4"/>
              <w:right w:val="single" w:sz="18" w:space="0" w:color="FFFFFF"/>
            </w:tcBorders>
            <w:shd w:val="clear" w:color="auto" w:fill="D9E2F3" w:themeFill="accent1" w:themeFillTint="33"/>
          </w:tcPr>
          <w:p w14:paraId="440E8165" w14:textId="77777777" w:rsidR="00370644" w:rsidRPr="002E6080" w:rsidRDefault="00370644" w:rsidP="00706487">
            <w:pPr>
              <w:spacing w:line="240" w:lineRule="auto"/>
              <w:rPr>
                <w:rFonts w:asciiTheme="majorBidi" w:hAnsiTheme="majorBidi" w:cstheme="majorBidi"/>
                <w:sz w:val="21"/>
                <w:szCs w:val="21"/>
              </w:rPr>
            </w:pPr>
            <w:r w:rsidRPr="002E6080">
              <w:rPr>
                <w:rFonts w:asciiTheme="majorBidi" w:hAnsiTheme="majorBidi" w:cstheme="majorBidi"/>
                <w:b/>
                <w:bCs/>
                <w:sz w:val="21"/>
                <w:szCs w:val="21"/>
              </w:rPr>
              <w:t>Output 2:</w:t>
            </w:r>
            <w:r w:rsidRPr="002E6080">
              <w:rPr>
                <w:rFonts w:asciiTheme="majorBidi" w:hAnsiTheme="majorBidi" w:cstheme="majorBidi"/>
                <w:sz w:val="21"/>
                <w:szCs w:val="21"/>
              </w:rPr>
              <w:t xml:space="preserve"> </w:t>
            </w:r>
          </w:p>
          <w:p w14:paraId="50B99534" w14:textId="7B86E764" w:rsidR="00506057" w:rsidRPr="002E6080" w:rsidRDefault="00370644" w:rsidP="00706487">
            <w:pPr>
              <w:spacing w:line="240" w:lineRule="auto"/>
              <w:rPr>
                <w:rFonts w:asciiTheme="majorBidi" w:hAnsiTheme="majorBidi" w:cstheme="majorBidi"/>
                <w:sz w:val="21"/>
                <w:szCs w:val="21"/>
              </w:rPr>
            </w:pPr>
            <w:r w:rsidRPr="002E6080">
              <w:rPr>
                <w:rFonts w:asciiTheme="majorBidi" w:hAnsiTheme="majorBidi" w:cstheme="majorBidi"/>
                <w:b/>
                <w:bCs/>
                <w:i/>
                <w:iCs/>
                <w:sz w:val="21"/>
                <w:szCs w:val="21"/>
              </w:rPr>
              <w:t>Social and institutional structures as well as the population are mobilized for prevention of SEA</w:t>
            </w:r>
          </w:p>
        </w:tc>
        <w:tc>
          <w:tcPr>
            <w:tcW w:w="6825" w:type="dxa"/>
            <w:tcBorders>
              <w:top w:val="single" w:sz="24" w:space="0" w:color="4472C4"/>
              <w:left w:val="single" w:sz="18" w:space="0" w:color="FFFFFF"/>
              <w:bottom w:val="single" w:sz="24" w:space="0" w:color="4472C4"/>
              <w:right w:val="single" w:sz="18" w:space="0" w:color="FFFFFF"/>
            </w:tcBorders>
          </w:tcPr>
          <w:p w14:paraId="1C290DDE" w14:textId="61B00AF4" w:rsidR="00370644" w:rsidRPr="002E6080" w:rsidRDefault="00370644" w:rsidP="008033A9">
            <w:pPr>
              <w:pStyle w:val="ListParagraph"/>
              <w:numPr>
                <w:ilvl w:val="0"/>
                <w:numId w:val="21"/>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community awareness and outreach campaigns</w:t>
            </w:r>
          </w:p>
          <w:p w14:paraId="6E05C07B" w14:textId="18AC8918" w:rsidR="00370644" w:rsidRPr="002E6080" w:rsidRDefault="00370644" w:rsidP="008033A9">
            <w:pPr>
              <w:pStyle w:val="ListParagraph"/>
              <w:numPr>
                <w:ilvl w:val="0"/>
                <w:numId w:val="21"/>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key messages and materials on PSEA</w:t>
            </w:r>
          </w:p>
          <w:p w14:paraId="6DB62FC8" w14:textId="16091EC3" w:rsidR="00370644" w:rsidRPr="002E6080" w:rsidRDefault="00370644" w:rsidP="008033A9">
            <w:pPr>
              <w:pStyle w:val="ListParagraph"/>
              <w:numPr>
                <w:ilvl w:val="0"/>
                <w:numId w:val="21"/>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community dialogues with local religious, cultural, civic</w:t>
            </w:r>
            <w:r w:rsidR="00084B15" w:rsidRPr="002E6080">
              <w:rPr>
                <w:rFonts w:asciiTheme="majorBidi" w:hAnsiTheme="majorBidi" w:cstheme="majorBidi"/>
                <w:sz w:val="21"/>
                <w:szCs w:val="21"/>
              </w:rPr>
              <w:t xml:space="preserve">, </w:t>
            </w:r>
            <w:r w:rsidRPr="002E6080">
              <w:rPr>
                <w:rFonts w:asciiTheme="majorBidi" w:hAnsiTheme="majorBidi" w:cstheme="majorBidi"/>
                <w:sz w:val="21"/>
                <w:szCs w:val="21"/>
              </w:rPr>
              <w:t>political leaders</w:t>
            </w:r>
          </w:p>
          <w:p w14:paraId="7A9DBA43" w14:textId="2F6687D3" w:rsidR="00506057" w:rsidRPr="002E6080" w:rsidRDefault="00370577" w:rsidP="00370577">
            <w:pPr>
              <w:pStyle w:val="ListParagraph"/>
              <w:numPr>
                <w:ilvl w:val="0"/>
                <w:numId w:val="21"/>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regular awareness activities for peacekeepers and aid workers</w:t>
            </w:r>
          </w:p>
        </w:tc>
      </w:tr>
      <w:tr w:rsidR="00506057" w:rsidRPr="002E6080" w14:paraId="0B44473F" w14:textId="77777777" w:rsidTr="00E673A7">
        <w:trPr>
          <w:trHeight w:val="234"/>
        </w:trPr>
        <w:tc>
          <w:tcPr>
            <w:tcW w:w="3195" w:type="dxa"/>
            <w:tcBorders>
              <w:top w:val="single" w:sz="24" w:space="0" w:color="4472C4"/>
              <w:left w:val="single" w:sz="18" w:space="0" w:color="0070C0"/>
              <w:bottom w:val="single" w:sz="24" w:space="0" w:color="4472C4"/>
              <w:right w:val="single" w:sz="18" w:space="0" w:color="FFFFFF"/>
            </w:tcBorders>
            <w:shd w:val="clear" w:color="auto" w:fill="E8EEF8"/>
          </w:tcPr>
          <w:p w14:paraId="470C945A" w14:textId="77777777" w:rsidR="00370644" w:rsidRPr="002E6080" w:rsidRDefault="00370644" w:rsidP="00706487">
            <w:pPr>
              <w:tabs>
                <w:tab w:val="left" w:pos="709"/>
              </w:tabs>
              <w:spacing w:line="240" w:lineRule="auto"/>
              <w:rPr>
                <w:rFonts w:asciiTheme="majorBidi" w:hAnsiTheme="majorBidi" w:cstheme="majorBidi"/>
                <w:b/>
                <w:bCs/>
                <w:sz w:val="21"/>
                <w:szCs w:val="21"/>
              </w:rPr>
            </w:pPr>
            <w:r w:rsidRPr="002E6080">
              <w:rPr>
                <w:rFonts w:asciiTheme="majorBidi" w:hAnsiTheme="majorBidi" w:cstheme="majorBidi"/>
                <w:b/>
                <w:bCs/>
                <w:sz w:val="21"/>
                <w:szCs w:val="21"/>
              </w:rPr>
              <w:t xml:space="preserve">Output 3: </w:t>
            </w:r>
          </w:p>
          <w:p w14:paraId="4AB6ABCD" w14:textId="5CC2B29C" w:rsidR="00506057" w:rsidRPr="002E6080" w:rsidRDefault="00370644" w:rsidP="00706487">
            <w:pPr>
              <w:spacing w:line="240" w:lineRule="auto"/>
              <w:rPr>
                <w:rFonts w:asciiTheme="majorBidi" w:hAnsiTheme="majorBidi" w:cstheme="majorBidi"/>
                <w:b/>
                <w:bCs/>
                <w:i/>
                <w:iCs/>
                <w:sz w:val="21"/>
                <w:szCs w:val="21"/>
              </w:rPr>
            </w:pPr>
            <w:r w:rsidRPr="002E6080">
              <w:rPr>
                <w:rFonts w:asciiTheme="majorBidi" w:hAnsiTheme="majorBidi" w:cstheme="majorBidi"/>
                <w:b/>
                <w:bCs/>
                <w:i/>
                <w:iCs/>
                <w:sz w:val="21"/>
                <w:szCs w:val="21"/>
              </w:rPr>
              <w:t>Improved access to reporting mechanism and response services for victims of SEA</w:t>
            </w:r>
          </w:p>
        </w:tc>
        <w:tc>
          <w:tcPr>
            <w:tcW w:w="6825" w:type="dxa"/>
            <w:tcBorders>
              <w:top w:val="single" w:sz="24" w:space="0" w:color="4472C4"/>
              <w:left w:val="single" w:sz="18" w:space="0" w:color="FFFFFF"/>
              <w:bottom w:val="single" w:sz="24" w:space="0" w:color="4472C4"/>
              <w:right w:val="single" w:sz="18" w:space="0" w:color="FFFFFF"/>
            </w:tcBorders>
          </w:tcPr>
          <w:p w14:paraId="23A6171E" w14:textId="708DC700" w:rsidR="00370644" w:rsidRPr="002E6080" w:rsidRDefault="00370644" w:rsidP="008033A9">
            <w:pPr>
              <w:pStyle w:val="ListParagraph"/>
              <w:numPr>
                <w:ilvl w:val="0"/>
                <w:numId w:val="22"/>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communities and</w:t>
            </w:r>
            <w:r w:rsidR="003B2893" w:rsidRPr="002E6080">
              <w:rPr>
                <w:rFonts w:asciiTheme="majorBidi" w:hAnsiTheme="majorBidi" w:cstheme="majorBidi"/>
                <w:sz w:val="21"/>
                <w:szCs w:val="21"/>
              </w:rPr>
              <w:t xml:space="preserve"> </w:t>
            </w:r>
            <w:r w:rsidRPr="002E6080">
              <w:rPr>
                <w:rFonts w:asciiTheme="majorBidi" w:hAnsiTheme="majorBidi" w:cstheme="majorBidi"/>
                <w:sz w:val="21"/>
                <w:szCs w:val="21"/>
              </w:rPr>
              <w:t>stakeholders</w:t>
            </w:r>
            <w:r w:rsidR="008033A9" w:rsidRPr="002E6080">
              <w:rPr>
                <w:rFonts w:asciiTheme="majorBidi" w:hAnsiTheme="majorBidi" w:cstheme="majorBidi"/>
                <w:sz w:val="21"/>
                <w:szCs w:val="21"/>
              </w:rPr>
              <w:t>’</w:t>
            </w:r>
            <w:r w:rsidRPr="002E6080">
              <w:rPr>
                <w:rFonts w:asciiTheme="majorBidi" w:hAnsiTheme="majorBidi" w:cstheme="majorBidi"/>
                <w:sz w:val="21"/>
                <w:szCs w:val="21"/>
              </w:rPr>
              <w:t xml:space="preserve"> </w:t>
            </w:r>
            <w:r w:rsidR="008033A9" w:rsidRPr="002E6080">
              <w:rPr>
                <w:rFonts w:asciiTheme="majorBidi" w:hAnsiTheme="majorBidi" w:cstheme="majorBidi"/>
                <w:sz w:val="21"/>
                <w:szCs w:val="21"/>
              </w:rPr>
              <w:t xml:space="preserve">engagement </w:t>
            </w:r>
            <w:r w:rsidRPr="002E6080">
              <w:rPr>
                <w:rFonts w:asciiTheme="majorBidi" w:hAnsiTheme="majorBidi" w:cstheme="majorBidi"/>
                <w:sz w:val="21"/>
                <w:szCs w:val="21"/>
              </w:rPr>
              <w:t>in establishing CBCM sites</w:t>
            </w:r>
          </w:p>
          <w:p w14:paraId="35D18F79" w14:textId="518FAE93" w:rsidR="00370644" w:rsidRPr="002E6080" w:rsidRDefault="00370644" w:rsidP="008033A9">
            <w:pPr>
              <w:pStyle w:val="ListParagraph"/>
              <w:numPr>
                <w:ilvl w:val="0"/>
                <w:numId w:val="22"/>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capacity</w:t>
            </w:r>
            <w:r w:rsidR="008033A9" w:rsidRPr="002E6080">
              <w:rPr>
                <w:rFonts w:asciiTheme="majorBidi" w:hAnsiTheme="majorBidi" w:cstheme="majorBidi"/>
                <w:sz w:val="21"/>
                <w:szCs w:val="21"/>
              </w:rPr>
              <w:t xml:space="preserve"> building</w:t>
            </w:r>
            <w:r w:rsidRPr="002E6080">
              <w:rPr>
                <w:rFonts w:asciiTheme="majorBidi" w:hAnsiTheme="majorBidi" w:cstheme="majorBidi"/>
                <w:sz w:val="21"/>
                <w:szCs w:val="21"/>
              </w:rPr>
              <w:t xml:space="preserve"> for SEA complaints handling</w:t>
            </w:r>
          </w:p>
          <w:p w14:paraId="4379E9ED" w14:textId="10291526" w:rsidR="00370644" w:rsidRPr="002E6080" w:rsidRDefault="00370644" w:rsidP="008033A9">
            <w:pPr>
              <w:pStyle w:val="ListParagraph"/>
              <w:numPr>
                <w:ilvl w:val="0"/>
                <w:numId w:val="22"/>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SEA case referral</w:t>
            </w:r>
          </w:p>
          <w:p w14:paraId="37100230" w14:textId="490C077D" w:rsidR="00370644" w:rsidRPr="002E6080" w:rsidRDefault="00370644" w:rsidP="008033A9">
            <w:pPr>
              <w:pStyle w:val="ListParagraph"/>
              <w:numPr>
                <w:ilvl w:val="0"/>
                <w:numId w:val="22"/>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reporting and investigation outcomes</w:t>
            </w:r>
            <w:r w:rsidR="008033A9" w:rsidRPr="002E6080">
              <w:rPr>
                <w:rFonts w:asciiTheme="majorBidi" w:hAnsiTheme="majorBidi" w:cstheme="majorBidi"/>
                <w:sz w:val="21"/>
                <w:szCs w:val="21"/>
              </w:rPr>
              <w:t xml:space="preserve"> follow up</w:t>
            </w:r>
          </w:p>
          <w:p w14:paraId="7C30C426" w14:textId="6B30BD03" w:rsidR="00370644" w:rsidRPr="002E6080" w:rsidRDefault="00370644" w:rsidP="008033A9">
            <w:pPr>
              <w:pStyle w:val="ListParagraph"/>
              <w:numPr>
                <w:ilvl w:val="0"/>
                <w:numId w:val="22"/>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establish</w:t>
            </w:r>
            <w:r w:rsidR="008033A9" w:rsidRPr="002E6080">
              <w:rPr>
                <w:rFonts w:asciiTheme="majorBidi" w:hAnsiTheme="majorBidi" w:cstheme="majorBidi"/>
                <w:sz w:val="21"/>
                <w:szCs w:val="21"/>
              </w:rPr>
              <w:t>ment of</w:t>
            </w:r>
            <w:r w:rsidRPr="002E6080">
              <w:rPr>
                <w:rFonts w:asciiTheme="majorBidi" w:hAnsiTheme="majorBidi" w:cstheme="majorBidi"/>
                <w:sz w:val="21"/>
                <w:szCs w:val="21"/>
              </w:rPr>
              <w:t xml:space="preserve"> online PSEA database</w:t>
            </w:r>
          </w:p>
          <w:p w14:paraId="75E1E867" w14:textId="5B5CBB25" w:rsidR="00370644" w:rsidRPr="002E6080" w:rsidRDefault="008033A9" w:rsidP="008033A9">
            <w:pPr>
              <w:pStyle w:val="ListParagraph"/>
              <w:numPr>
                <w:ilvl w:val="0"/>
                <w:numId w:val="22"/>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 xml:space="preserve">cooperation </w:t>
            </w:r>
            <w:r w:rsidR="00370644" w:rsidRPr="002E6080">
              <w:rPr>
                <w:rFonts w:asciiTheme="majorBidi" w:hAnsiTheme="majorBidi" w:cstheme="majorBidi"/>
                <w:sz w:val="21"/>
                <w:szCs w:val="21"/>
              </w:rPr>
              <w:t>with Victims’ Rights Advocate for assistance</w:t>
            </w:r>
          </w:p>
          <w:p w14:paraId="5CE9AAA4" w14:textId="51587B1A" w:rsidR="00506057" w:rsidRPr="002E6080" w:rsidRDefault="00DA42F1" w:rsidP="00DA42F1">
            <w:pPr>
              <w:pStyle w:val="ListParagraph"/>
              <w:numPr>
                <w:ilvl w:val="0"/>
                <w:numId w:val="22"/>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partners mobilization for referrals</w:t>
            </w:r>
          </w:p>
        </w:tc>
      </w:tr>
      <w:tr w:rsidR="00506057" w:rsidRPr="002E6080" w14:paraId="38E832B9" w14:textId="77777777" w:rsidTr="00E673A7">
        <w:trPr>
          <w:trHeight w:val="195"/>
        </w:trPr>
        <w:tc>
          <w:tcPr>
            <w:tcW w:w="3195" w:type="dxa"/>
            <w:tcBorders>
              <w:top w:val="single" w:sz="24" w:space="0" w:color="4472C4"/>
              <w:left w:val="single" w:sz="18" w:space="0" w:color="0070C0"/>
              <w:bottom w:val="single" w:sz="24" w:space="0" w:color="4472C4"/>
              <w:right w:val="single" w:sz="18" w:space="0" w:color="FFFFFF"/>
            </w:tcBorders>
            <w:shd w:val="clear" w:color="auto" w:fill="D9E2F3" w:themeFill="accent1" w:themeFillTint="33"/>
          </w:tcPr>
          <w:p w14:paraId="5A769FA8" w14:textId="77777777" w:rsidR="00370644" w:rsidRPr="002E6080" w:rsidRDefault="00370644" w:rsidP="00706487">
            <w:pPr>
              <w:spacing w:line="240" w:lineRule="auto"/>
              <w:rPr>
                <w:rFonts w:asciiTheme="majorBidi" w:hAnsiTheme="majorBidi" w:cstheme="majorBidi"/>
                <w:b/>
                <w:bCs/>
                <w:sz w:val="21"/>
                <w:szCs w:val="21"/>
              </w:rPr>
            </w:pPr>
            <w:r w:rsidRPr="002E6080">
              <w:rPr>
                <w:rFonts w:asciiTheme="majorBidi" w:hAnsiTheme="majorBidi" w:cstheme="majorBidi"/>
                <w:b/>
                <w:bCs/>
                <w:sz w:val="21"/>
                <w:szCs w:val="21"/>
              </w:rPr>
              <w:t xml:space="preserve">Output 4: </w:t>
            </w:r>
          </w:p>
          <w:p w14:paraId="5F541201" w14:textId="3A70ED5E" w:rsidR="00506057" w:rsidRPr="002E6080" w:rsidRDefault="00370644" w:rsidP="00706487">
            <w:pPr>
              <w:spacing w:line="240" w:lineRule="auto"/>
              <w:rPr>
                <w:rFonts w:asciiTheme="majorBidi" w:hAnsiTheme="majorBidi" w:cstheme="majorBidi"/>
                <w:b/>
                <w:bCs/>
                <w:i/>
                <w:iCs/>
                <w:sz w:val="21"/>
                <w:szCs w:val="21"/>
              </w:rPr>
            </w:pPr>
            <w:r w:rsidRPr="002E6080">
              <w:rPr>
                <w:rFonts w:asciiTheme="majorBidi" w:hAnsiTheme="majorBidi" w:cstheme="majorBidi"/>
                <w:b/>
                <w:bCs/>
                <w:i/>
                <w:iCs/>
                <w:sz w:val="21"/>
                <w:szCs w:val="21"/>
              </w:rPr>
              <w:t>Increased enforcement and compliance with standards/policies on PSEA</w:t>
            </w:r>
          </w:p>
        </w:tc>
        <w:tc>
          <w:tcPr>
            <w:tcW w:w="6825" w:type="dxa"/>
            <w:tcBorders>
              <w:top w:val="single" w:sz="24" w:space="0" w:color="4472C4"/>
              <w:left w:val="single" w:sz="18" w:space="0" w:color="FFFFFF"/>
              <w:bottom w:val="single" w:sz="24" w:space="0" w:color="4472C4"/>
              <w:right w:val="single" w:sz="18" w:space="0" w:color="FFFFFF"/>
            </w:tcBorders>
          </w:tcPr>
          <w:p w14:paraId="46A9C856" w14:textId="77777777" w:rsidR="00370644" w:rsidRPr="002E6080" w:rsidRDefault="00370644" w:rsidP="003B2893">
            <w:pPr>
              <w:pStyle w:val="ListParagraph"/>
              <w:numPr>
                <w:ilvl w:val="0"/>
                <w:numId w:val="23"/>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mandatory yearly internal capacity assessment and action planning</w:t>
            </w:r>
          </w:p>
          <w:p w14:paraId="7A7765FA" w14:textId="5E7BC7DA" w:rsidR="00370644" w:rsidRPr="002E6080" w:rsidRDefault="00370644" w:rsidP="003B2893">
            <w:pPr>
              <w:pStyle w:val="ListParagraph"/>
              <w:numPr>
                <w:ilvl w:val="0"/>
                <w:numId w:val="23"/>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internal workplans, code of conduct and guidelines</w:t>
            </w:r>
          </w:p>
          <w:p w14:paraId="519026C0" w14:textId="79183F42" w:rsidR="00370644" w:rsidRPr="002E6080" w:rsidRDefault="003B2893" w:rsidP="003B2893">
            <w:pPr>
              <w:pStyle w:val="ListParagraph"/>
              <w:numPr>
                <w:ilvl w:val="0"/>
                <w:numId w:val="23"/>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a</w:t>
            </w:r>
            <w:r w:rsidR="00370644" w:rsidRPr="002E6080">
              <w:rPr>
                <w:rFonts w:asciiTheme="majorBidi" w:hAnsiTheme="majorBidi" w:cstheme="majorBidi"/>
                <w:sz w:val="21"/>
                <w:szCs w:val="21"/>
              </w:rPr>
              <w:t xml:space="preserve"> system for enhanced screening of personnel and good hiring practices</w:t>
            </w:r>
          </w:p>
          <w:p w14:paraId="222B6234" w14:textId="4027DFCA" w:rsidR="00370644" w:rsidRPr="002E6080" w:rsidRDefault="00370644" w:rsidP="003B2893">
            <w:pPr>
              <w:pStyle w:val="ListParagraph"/>
              <w:numPr>
                <w:ilvl w:val="0"/>
                <w:numId w:val="23"/>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mandatory pre-deployment training on PSEA</w:t>
            </w:r>
            <w:r w:rsidR="003B2893" w:rsidRPr="002E6080">
              <w:rPr>
                <w:rFonts w:asciiTheme="majorBidi" w:hAnsiTheme="majorBidi" w:cstheme="majorBidi"/>
                <w:sz w:val="21"/>
                <w:szCs w:val="21"/>
              </w:rPr>
              <w:t xml:space="preserve"> for all staff</w:t>
            </w:r>
          </w:p>
          <w:p w14:paraId="75631F2F" w14:textId="323FBDF7" w:rsidR="00370644" w:rsidRPr="002E6080" w:rsidRDefault="00370644" w:rsidP="003B2893">
            <w:pPr>
              <w:pStyle w:val="ListParagraph"/>
              <w:numPr>
                <w:ilvl w:val="0"/>
                <w:numId w:val="23"/>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mandatory refresher trainings</w:t>
            </w:r>
          </w:p>
          <w:p w14:paraId="3743A39B" w14:textId="2359D8C8" w:rsidR="00506057" w:rsidRPr="002E6080" w:rsidRDefault="00F11316" w:rsidP="00F11316">
            <w:pPr>
              <w:pStyle w:val="ListParagraph"/>
              <w:numPr>
                <w:ilvl w:val="0"/>
                <w:numId w:val="23"/>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SOP updates for SEA case management</w:t>
            </w:r>
          </w:p>
        </w:tc>
      </w:tr>
      <w:tr w:rsidR="00506057" w:rsidRPr="002E6080" w14:paraId="33DC9E16" w14:textId="77777777" w:rsidTr="00E673A7">
        <w:trPr>
          <w:trHeight w:val="300"/>
        </w:trPr>
        <w:tc>
          <w:tcPr>
            <w:tcW w:w="3195" w:type="dxa"/>
            <w:tcBorders>
              <w:top w:val="single" w:sz="24" w:space="0" w:color="4472C4"/>
              <w:left w:val="single" w:sz="18" w:space="0" w:color="0070C0"/>
              <w:bottom w:val="single" w:sz="24" w:space="0" w:color="4472C4"/>
              <w:right w:val="single" w:sz="18" w:space="0" w:color="FFFFFF"/>
            </w:tcBorders>
            <w:shd w:val="clear" w:color="auto" w:fill="E8EEF8"/>
          </w:tcPr>
          <w:p w14:paraId="2DF6FDE6" w14:textId="77777777" w:rsidR="00370644" w:rsidRPr="002E6080" w:rsidRDefault="00370644" w:rsidP="00706487">
            <w:pPr>
              <w:spacing w:line="240" w:lineRule="auto"/>
              <w:rPr>
                <w:rFonts w:asciiTheme="majorBidi" w:hAnsiTheme="majorBidi" w:cstheme="majorBidi"/>
                <w:b/>
                <w:bCs/>
                <w:sz w:val="21"/>
                <w:szCs w:val="21"/>
              </w:rPr>
            </w:pPr>
            <w:r w:rsidRPr="002E6080">
              <w:rPr>
                <w:rFonts w:asciiTheme="majorBidi" w:hAnsiTheme="majorBidi" w:cstheme="majorBidi"/>
                <w:b/>
                <w:bCs/>
                <w:sz w:val="21"/>
                <w:szCs w:val="21"/>
              </w:rPr>
              <w:t xml:space="preserve">Output 5: </w:t>
            </w:r>
          </w:p>
          <w:p w14:paraId="7D8E662E" w14:textId="2FA9D8AC" w:rsidR="00506057" w:rsidRPr="002E6080" w:rsidRDefault="00370644" w:rsidP="00706487">
            <w:pPr>
              <w:spacing w:line="240" w:lineRule="auto"/>
              <w:rPr>
                <w:rFonts w:asciiTheme="majorBidi" w:hAnsiTheme="majorBidi" w:cstheme="majorBidi"/>
                <w:b/>
                <w:bCs/>
                <w:i/>
                <w:iCs/>
                <w:sz w:val="21"/>
                <w:szCs w:val="21"/>
              </w:rPr>
            </w:pPr>
            <w:r w:rsidRPr="002E6080">
              <w:rPr>
                <w:rFonts w:asciiTheme="majorBidi" w:hAnsiTheme="majorBidi" w:cstheme="majorBidi"/>
                <w:b/>
                <w:bCs/>
                <w:i/>
                <w:iCs/>
                <w:sz w:val="21"/>
                <w:szCs w:val="21"/>
              </w:rPr>
              <w:t>Improved the effectiveness and efficiency in coordination and management PSEA programmes</w:t>
            </w:r>
          </w:p>
        </w:tc>
        <w:tc>
          <w:tcPr>
            <w:tcW w:w="6825" w:type="dxa"/>
            <w:tcBorders>
              <w:top w:val="single" w:sz="24" w:space="0" w:color="4472C4"/>
              <w:left w:val="single" w:sz="18" w:space="0" w:color="FFFFFF"/>
              <w:bottom w:val="single" w:sz="24" w:space="0" w:color="4472C4"/>
              <w:right w:val="single" w:sz="18" w:space="0" w:color="FFFFFF"/>
            </w:tcBorders>
          </w:tcPr>
          <w:p w14:paraId="2695D4C4" w14:textId="19511025" w:rsidR="00370644" w:rsidRPr="002E6080" w:rsidRDefault="00370644" w:rsidP="003B2893">
            <w:pPr>
              <w:pStyle w:val="ListParagraph"/>
              <w:numPr>
                <w:ilvl w:val="0"/>
                <w:numId w:val="24"/>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dedicated PSEA Coordinator</w:t>
            </w:r>
          </w:p>
          <w:p w14:paraId="5D101CD2" w14:textId="55E5142A" w:rsidR="00370644" w:rsidRPr="002E6080" w:rsidRDefault="00370644" w:rsidP="003B2893">
            <w:pPr>
              <w:pStyle w:val="ListParagraph"/>
              <w:numPr>
                <w:ilvl w:val="0"/>
                <w:numId w:val="24"/>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coordination roles at national and field levels</w:t>
            </w:r>
          </w:p>
          <w:p w14:paraId="4E2E9847" w14:textId="17EF3CA8" w:rsidR="00370644" w:rsidRPr="002E6080" w:rsidRDefault="00370644" w:rsidP="003B2893">
            <w:pPr>
              <w:pStyle w:val="ListParagraph"/>
              <w:numPr>
                <w:ilvl w:val="0"/>
                <w:numId w:val="24"/>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focal points</w:t>
            </w:r>
            <w:r w:rsidR="003B2893" w:rsidRPr="002E6080">
              <w:rPr>
                <w:rFonts w:asciiTheme="majorBidi" w:hAnsiTheme="majorBidi" w:cstheme="majorBidi"/>
                <w:sz w:val="21"/>
                <w:szCs w:val="21"/>
              </w:rPr>
              <w:t>’</w:t>
            </w:r>
            <w:r w:rsidRPr="002E6080">
              <w:rPr>
                <w:rFonts w:asciiTheme="majorBidi" w:hAnsiTheme="majorBidi" w:cstheme="majorBidi"/>
                <w:sz w:val="21"/>
                <w:szCs w:val="21"/>
              </w:rPr>
              <w:t xml:space="preserve"> capacity </w:t>
            </w:r>
            <w:r w:rsidR="003B2893" w:rsidRPr="002E6080">
              <w:rPr>
                <w:rFonts w:asciiTheme="majorBidi" w:hAnsiTheme="majorBidi" w:cstheme="majorBidi"/>
                <w:sz w:val="21"/>
                <w:szCs w:val="21"/>
              </w:rPr>
              <w:t xml:space="preserve">development </w:t>
            </w:r>
            <w:r w:rsidRPr="002E6080">
              <w:rPr>
                <w:rFonts w:asciiTheme="majorBidi" w:hAnsiTheme="majorBidi" w:cstheme="majorBidi"/>
                <w:sz w:val="21"/>
                <w:szCs w:val="21"/>
              </w:rPr>
              <w:t>for effective coordination</w:t>
            </w:r>
          </w:p>
          <w:p w14:paraId="6C94BC86" w14:textId="5C91470E" w:rsidR="00370644" w:rsidRPr="002E6080" w:rsidRDefault="00370644" w:rsidP="003B2893">
            <w:pPr>
              <w:pStyle w:val="ListParagraph"/>
              <w:numPr>
                <w:ilvl w:val="0"/>
                <w:numId w:val="24"/>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inter-agency workplan</w:t>
            </w:r>
          </w:p>
          <w:p w14:paraId="5AF2E8DF" w14:textId="03C9C963" w:rsidR="00506057" w:rsidRPr="002E6080" w:rsidRDefault="00FD48D9" w:rsidP="00FD48D9">
            <w:pPr>
              <w:pStyle w:val="ListParagraph"/>
              <w:numPr>
                <w:ilvl w:val="0"/>
                <w:numId w:val="24"/>
              </w:numPr>
              <w:spacing w:line="240" w:lineRule="auto"/>
              <w:ind w:left="312" w:hanging="284"/>
              <w:jc w:val="both"/>
              <w:rPr>
                <w:rFonts w:asciiTheme="majorBidi" w:hAnsiTheme="majorBidi" w:cstheme="majorBidi"/>
                <w:color w:val="0070C0"/>
                <w:sz w:val="21"/>
                <w:szCs w:val="21"/>
              </w:rPr>
            </w:pPr>
            <w:r w:rsidRPr="002E6080">
              <w:rPr>
                <w:rFonts w:asciiTheme="majorBidi" w:hAnsiTheme="majorBidi" w:cstheme="majorBidi"/>
                <w:sz w:val="21"/>
                <w:szCs w:val="21"/>
              </w:rPr>
              <w:t>supervision and monitoring, evaluation, documentation, best practices</w:t>
            </w:r>
          </w:p>
        </w:tc>
      </w:tr>
    </w:tbl>
    <w:p w14:paraId="08B244AB" w14:textId="4C435983" w:rsidR="00506057" w:rsidRDefault="00506057" w:rsidP="005F7972">
      <w:pPr>
        <w:spacing w:line="240" w:lineRule="auto"/>
        <w:jc w:val="both"/>
        <w:rPr>
          <w:rFonts w:asciiTheme="majorBidi" w:hAnsiTheme="majorBidi" w:cstheme="majorBidi"/>
          <w:sz w:val="10"/>
          <w:szCs w:val="10"/>
        </w:rPr>
      </w:pPr>
    </w:p>
    <w:p w14:paraId="4ECDD5D3" w14:textId="4990D452" w:rsidR="00123234" w:rsidRDefault="00123234" w:rsidP="005F7972">
      <w:pPr>
        <w:spacing w:line="240" w:lineRule="auto"/>
        <w:jc w:val="both"/>
        <w:rPr>
          <w:rFonts w:asciiTheme="majorBidi" w:hAnsiTheme="majorBidi" w:cstheme="majorBidi"/>
          <w:sz w:val="10"/>
          <w:szCs w:val="10"/>
        </w:rPr>
      </w:pPr>
    </w:p>
    <w:p w14:paraId="542E315E" w14:textId="77777777" w:rsidR="00123234" w:rsidRPr="002E6080" w:rsidRDefault="00123234" w:rsidP="005F7972">
      <w:pPr>
        <w:spacing w:line="240" w:lineRule="auto"/>
        <w:jc w:val="both"/>
        <w:rPr>
          <w:rFonts w:asciiTheme="majorBidi" w:hAnsiTheme="majorBidi" w:cstheme="majorBidi"/>
          <w:sz w:val="10"/>
          <w:szCs w:val="10"/>
        </w:rPr>
      </w:pPr>
    </w:p>
    <w:p w14:paraId="1AE9B174" w14:textId="1A4E1442" w:rsidR="009F6ADB" w:rsidRPr="00370644" w:rsidRDefault="00562DA0" w:rsidP="008F16FC">
      <w:pPr>
        <w:shd w:val="clear" w:color="auto" w:fill="D9E2F3" w:themeFill="accent1" w:themeFillTint="33"/>
        <w:spacing w:line="240" w:lineRule="auto"/>
        <w:jc w:val="both"/>
        <w:rPr>
          <w:rFonts w:asciiTheme="majorBidi" w:hAnsiTheme="majorBidi" w:cstheme="majorBidi"/>
          <w:b/>
          <w:bCs/>
          <w:i/>
          <w:iCs/>
          <w:sz w:val="24"/>
          <w:szCs w:val="24"/>
        </w:rPr>
      </w:pPr>
      <w:r w:rsidRPr="00370644">
        <w:rPr>
          <w:rFonts w:asciiTheme="majorBidi" w:hAnsiTheme="majorBidi" w:cstheme="majorBidi"/>
          <w:b/>
          <w:bCs/>
          <w:i/>
          <w:iCs/>
          <w:sz w:val="24"/>
          <w:szCs w:val="24"/>
        </w:rPr>
        <w:t xml:space="preserve">Oversight and </w:t>
      </w:r>
      <w:r w:rsidR="004627DB" w:rsidRPr="00370644">
        <w:rPr>
          <w:rFonts w:asciiTheme="majorBidi" w:hAnsiTheme="majorBidi" w:cstheme="majorBidi"/>
          <w:b/>
          <w:bCs/>
          <w:i/>
          <w:iCs/>
          <w:sz w:val="24"/>
          <w:szCs w:val="24"/>
        </w:rPr>
        <w:t>coordination</w:t>
      </w:r>
    </w:p>
    <w:p w14:paraId="406BE33F" w14:textId="77777777" w:rsidR="002110B3" w:rsidRPr="002E6080" w:rsidRDefault="002110B3" w:rsidP="002110B3">
      <w:pPr>
        <w:pStyle w:val="ListParagraph"/>
        <w:shd w:val="clear" w:color="auto" w:fill="FFFFFF" w:themeFill="background1"/>
        <w:spacing w:line="240" w:lineRule="auto"/>
        <w:ind w:left="426"/>
        <w:jc w:val="both"/>
        <w:rPr>
          <w:rFonts w:asciiTheme="majorBidi" w:hAnsiTheme="majorBidi" w:cstheme="majorBidi"/>
          <w:b/>
          <w:bCs/>
          <w:i/>
          <w:iCs/>
          <w:sz w:val="10"/>
          <w:szCs w:val="10"/>
        </w:rPr>
      </w:pPr>
    </w:p>
    <w:p w14:paraId="504264B0" w14:textId="77777777" w:rsidR="00F3560B" w:rsidRPr="002E6080" w:rsidRDefault="004627DB" w:rsidP="005F7972">
      <w:pPr>
        <w:pStyle w:val="ListParagraph"/>
        <w:numPr>
          <w:ilvl w:val="0"/>
          <w:numId w:val="5"/>
        </w:numPr>
        <w:spacing w:line="240" w:lineRule="auto"/>
        <w:jc w:val="both"/>
        <w:rPr>
          <w:rFonts w:asciiTheme="majorBidi" w:hAnsiTheme="majorBidi" w:cstheme="majorBidi"/>
          <w:b/>
          <w:bCs/>
          <w:color w:val="0070C0"/>
          <w:sz w:val="21"/>
          <w:szCs w:val="21"/>
        </w:rPr>
      </w:pPr>
      <w:r w:rsidRPr="002E6080">
        <w:rPr>
          <w:rFonts w:asciiTheme="majorBidi" w:hAnsiTheme="majorBidi" w:cstheme="majorBidi"/>
          <w:b/>
          <w:bCs/>
          <w:color w:val="0070C0"/>
          <w:sz w:val="21"/>
          <w:szCs w:val="21"/>
        </w:rPr>
        <w:t>Field level Task Force on PSEA:</w:t>
      </w:r>
      <w:r w:rsidRPr="002E6080">
        <w:rPr>
          <w:rFonts w:asciiTheme="majorBidi" w:hAnsiTheme="majorBidi" w:cstheme="majorBidi"/>
          <w:color w:val="0070C0"/>
          <w:sz w:val="21"/>
          <w:szCs w:val="21"/>
        </w:rPr>
        <w:t xml:space="preserve"> </w:t>
      </w:r>
    </w:p>
    <w:p w14:paraId="343307D7" w14:textId="1E1D91FA" w:rsidR="006E14D3" w:rsidRPr="002E6080" w:rsidRDefault="004627DB" w:rsidP="00F3560B">
      <w:pPr>
        <w:pStyle w:val="ListParagraph"/>
        <w:spacing w:line="240" w:lineRule="auto"/>
        <w:jc w:val="both"/>
        <w:rPr>
          <w:rFonts w:asciiTheme="majorBidi" w:hAnsiTheme="majorBidi" w:cstheme="majorBidi"/>
          <w:b/>
          <w:bCs/>
          <w:color w:val="0070C0"/>
          <w:sz w:val="21"/>
          <w:szCs w:val="21"/>
        </w:rPr>
      </w:pPr>
      <w:r w:rsidRPr="002E6080">
        <w:rPr>
          <w:rFonts w:asciiTheme="majorBidi" w:hAnsiTheme="majorBidi" w:cstheme="majorBidi"/>
          <w:sz w:val="21"/>
          <w:szCs w:val="21"/>
        </w:rPr>
        <w:t xml:space="preserve">subnational </w:t>
      </w:r>
      <w:r w:rsidR="000D7087" w:rsidRPr="002E6080">
        <w:rPr>
          <w:rFonts w:asciiTheme="majorBidi" w:hAnsiTheme="majorBidi" w:cstheme="majorBidi"/>
          <w:sz w:val="21"/>
          <w:szCs w:val="21"/>
        </w:rPr>
        <w:t>structures</w:t>
      </w:r>
      <w:r w:rsidRPr="002E6080">
        <w:rPr>
          <w:rFonts w:asciiTheme="majorBidi" w:hAnsiTheme="majorBidi" w:cstheme="majorBidi"/>
          <w:sz w:val="21"/>
          <w:szCs w:val="21"/>
        </w:rPr>
        <w:t xml:space="preserve"> in sites with CBCM, made up of representatives of each UN entity and NGOs, </w:t>
      </w:r>
      <w:r w:rsidR="000D7087" w:rsidRPr="002E6080">
        <w:rPr>
          <w:rFonts w:asciiTheme="majorBidi" w:hAnsiTheme="majorBidi" w:cstheme="majorBidi"/>
          <w:sz w:val="21"/>
          <w:szCs w:val="21"/>
        </w:rPr>
        <w:t xml:space="preserve">under the auspices of DSRGS/RC/HC </w:t>
      </w:r>
      <w:r w:rsidRPr="002E6080">
        <w:rPr>
          <w:rFonts w:asciiTheme="majorBidi" w:hAnsiTheme="majorBidi" w:cstheme="majorBidi"/>
          <w:sz w:val="21"/>
          <w:szCs w:val="21"/>
        </w:rPr>
        <w:t>reporting to the national TF, responsible for establishing and smooth running of CBCM’s and local level coordination of PSEA/CBCM activities</w:t>
      </w:r>
    </w:p>
    <w:p w14:paraId="6F75D5B8" w14:textId="77777777" w:rsidR="00F3560B" w:rsidRPr="002E6080" w:rsidRDefault="00F3560B" w:rsidP="00F3560B">
      <w:pPr>
        <w:pStyle w:val="ListParagraph"/>
        <w:spacing w:line="240" w:lineRule="auto"/>
        <w:jc w:val="both"/>
        <w:rPr>
          <w:rFonts w:asciiTheme="majorBidi" w:hAnsiTheme="majorBidi" w:cstheme="majorBidi"/>
          <w:sz w:val="10"/>
          <w:szCs w:val="10"/>
        </w:rPr>
      </w:pPr>
    </w:p>
    <w:p w14:paraId="6B3B03EA" w14:textId="77777777" w:rsidR="00F3560B" w:rsidRPr="002E6080" w:rsidRDefault="004627DB" w:rsidP="005F7972">
      <w:pPr>
        <w:pStyle w:val="ListParagraph"/>
        <w:numPr>
          <w:ilvl w:val="0"/>
          <w:numId w:val="5"/>
        </w:numPr>
        <w:spacing w:line="240" w:lineRule="auto"/>
        <w:jc w:val="both"/>
        <w:rPr>
          <w:rFonts w:asciiTheme="majorBidi" w:hAnsiTheme="majorBidi" w:cstheme="majorBidi"/>
          <w:b/>
          <w:bCs/>
          <w:color w:val="0070C0"/>
          <w:sz w:val="21"/>
          <w:szCs w:val="21"/>
        </w:rPr>
      </w:pPr>
      <w:r w:rsidRPr="002E6080">
        <w:rPr>
          <w:rFonts w:asciiTheme="majorBidi" w:hAnsiTheme="majorBidi" w:cstheme="majorBidi"/>
          <w:b/>
          <w:bCs/>
          <w:color w:val="0070C0"/>
          <w:sz w:val="21"/>
          <w:szCs w:val="21"/>
        </w:rPr>
        <w:t xml:space="preserve">National Task Force on PSEA: </w:t>
      </w:r>
    </w:p>
    <w:p w14:paraId="1095112E" w14:textId="25ABE2CB" w:rsidR="004627DB" w:rsidRPr="002E6080" w:rsidRDefault="000D7087" w:rsidP="00F3560B">
      <w:pPr>
        <w:pStyle w:val="ListParagraph"/>
        <w:spacing w:line="240" w:lineRule="auto"/>
        <w:jc w:val="both"/>
        <w:rPr>
          <w:rFonts w:asciiTheme="majorBidi" w:hAnsiTheme="majorBidi" w:cstheme="majorBidi"/>
          <w:sz w:val="21"/>
          <w:szCs w:val="21"/>
        </w:rPr>
      </w:pPr>
      <w:r w:rsidRPr="002E6080">
        <w:rPr>
          <w:rFonts w:asciiTheme="majorBidi" w:hAnsiTheme="majorBidi" w:cstheme="majorBidi"/>
          <w:sz w:val="21"/>
          <w:szCs w:val="21"/>
        </w:rPr>
        <w:t xml:space="preserve">directly reporting to UNCT, membership of UN entities, national and international NGO working collaboratively with government structures at national level; coordination and overall support to national and field level actions and provision of policy and strategic </w:t>
      </w:r>
      <w:r w:rsidR="00F3560B" w:rsidRPr="002E6080">
        <w:rPr>
          <w:rFonts w:asciiTheme="majorBidi" w:hAnsiTheme="majorBidi" w:cstheme="majorBidi"/>
          <w:sz w:val="21"/>
          <w:szCs w:val="21"/>
        </w:rPr>
        <w:t>advice</w:t>
      </w:r>
      <w:r w:rsidRPr="002E6080">
        <w:rPr>
          <w:rFonts w:asciiTheme="majorBidi" w:hAnsiTheme="majorBidi" w:cstheme="majorBidi"/>
          <w:sz w:val="21"/>
          <w:szCs w:val="21"/>
        </w:rPr>
        <w:t xml:space="preserve"> to UNCT, HCT and SMG</w:t>
      </w:r>
    </w:p>
    <w:p w14:paraId="1BBD66E4" w14:textId="77777777" w:rsidR="00F3560B" w:rsidRPr="002E6080" w:rsidRDefault="00F3560B" w:rsidP="00F3560B">
      <w:pPr>
        <w:pStyle w:val="ListParagraph"/>
        <w:spacing w:line="240" w:lineRule="auto"/>
        <w:jc w:val="both"/>
        <w:rPr>
          <w:rFonts w:asciiTheme="majorBidi" w:hAnsiTheme="majorBidi" w:cstheme="majorBidi"/>
          <w:sz w:val="10"/>
          <w:szCs w:val="10"/>
        </w:rPr>
      </w:pPr>
    </w:p>
    <w:p w14:paraId="7DB1319E" w14:textId="77777777" w:rsidR="00F3560B" w:rsidRPr="002E6080" w:rsidRDefault="000D7087" w:rsidP="005F7972">
      <w:pPr>
        <w:pStyle w:val="ListParagraph"/>
        <w:numPr>
          <w:ilvl w:val="0"/>
          <w:numId w:val="5"/>
        </w:numPr>
        <w:spacing w:line="240" w:lineRule="auto"/>
        <w:jc w:val="both"/>
        <w:rPr>
          <w:rFonts w:asciiTheme="majorBidi" w:hAnsiTheme="majorBidi" w:cstheme="majorBidi"/>
          <w:b/>
          <w:bCs/>
          <w:color w:val="0070C0"/>
          <w:sz w:val="21"/>
          <w:szCs w:val="21"/>
        </w:rPr>
      </w:pPr>
      <w:r w:rsidRPr="002E6080">
        <w:rPr>
          <w:rFonts w:asciiTheme="majorBidi" w:hAnsiTheme="majorBidi" w:cstheme="majorBidi"/>
          <w:b/>
          <w:bCs/>
          <w:color w:val="0070C0"/>
          <w:sz w:val="21"/>
          <w:szCs w:val="21"/>
        </w:rPr>
        <w:t xml:space="preserve">UNCT and HCT supervisory functions: </w:t>
      </w:r>
    </w:p>
    <w:p w14:paraId="4B6FD299" w14:textId="11C97BBA" w:rsidR="000D7087" w:rsidRPr="002E6080" w:rsidRDefault="000D7087" w:rsidP="00F3560B">
      <w:pPr>
        <w:pStyle w:val="ListParagraph"/>
        <w:spacing w:line="240" w:lineRule="auto"/>
        <w:jc w:val="both"/>
        <w:rPr>
          <w:rFonts w:asciiTheme="majorBidi" w:hAnsiTheme="majorBidi" w:cstheme="majorBidi"/>
          <w:sz w:val="21"/>
          <w:szCs w:val="21"/>
        </w:rPr>
      </w:pPr>
      <w:r w:rsidRPr="002E6080">
        <w:rPr>
          <w:rFonts w:asciiTheme="majorBidi" w:hAnsiTheme="majorBidi" w:cstheme="majorBidi"/>
          <w:sz w:val="21"/>
          <w:szCs w:val="21"/>
        </w:rPr>
        <w:t>chaired by DSRSG/HC/RC, direct reports by the national TF, approve the annual work plan and fund it through UNCT cost-shared budget</w:t>
      </w:r>
    </w:p>
    <w:p w14:paraId="799C55D3" w14:textId="77777777" w:rsidR="00F3560B" w:rsidRPr="002E6080" w:rsidRDefault="00F3560B" w:rsidP="00F3560B">
      <w:pPr>
        <w:pStyle w:val="ListParagraph"/>
        <w:spacing w:line="240" w:lineRule="auto"/>
        <w:jc w:val="both"/>
        <w:rPr>
          <w:rFonts w:asciiTheme="majorBidi" w:hAnsiTheme="majorBidi" w:cstheme="majorBidi"/>
          <w:sz w:val="10"/>
          <w:szCs w:val="10"/>
        </w:rPr>
      </w:pPr>
    </w:p>
    <w:p w14:paraId="69D87794" w14:textId="77777777" w:rsidR="00F3560B" w:rsidRPr="002E6080" w:rsidRDefault="007F57DA" w:rsidP="005F7972">
      <w:pPr>
        <w:pStyle w:val="ListParagraph"/>
        <w:numPr>
          <w:ilvl w:val="0"/>
          <w:numId w:val="5"/>
        </w:numPr>
        <w:spacing w:line="240" w:lineRule="auto"/>
        <w:jc w:val="both"/>
        <w:rPr>
          <w:rFonts w:asciiTheme="majorBidi" w:hAnsiTheme="majorBidi" w:cstheme="majorBidi"/>
          <w:b/>
          <w:bCs/>
          <w:color w:val="0070C0"/>
          <w:sz w:val="21"/>
          <w:szCs w:val="21"/>
        </w:rPr>
      </w:pPr>
      <w:r w:rsidRPr="002E6080">
        <w:rPr>
          <w:rFonts w:asciiTheme="majorBidi" w:hAnsiTheme="majorBidi" w:cstheme="majorBidi"/>
          <w:b/>
          <w:bCs/>
          <w:color w:val="0070C0"/>
          <w:sz w:val="21"/>
          <w:szCs w:val="21"/>
        </w:rPr>
        <w:t xml:space="preserve">Senior Management Group’s oversight role: </w:t>
      </w:r>
    </w:p>
    <w:p w14:paraId="523823DE" w14:textId="7D9575E3" w:rsidR="000D7087" w:rsidRPr="002E6080" w:rsidRDefault="007F57DA" w:rsidP="00F3560B">
      <w:pPr>
        <w:pStyle w:val="ListParagraph"/>
        <w:spacing w:line="240" w:lineRule="auto"/>
        <w:jc w:val="both"/>
        <w:rPr>
          <w:rFonts w:asciiTheme="majorBidi" w:hAnsiTheme="majorBidi" w:cstheme="majorBidi"/>
          <w:sz w:val="21"/>
          <w:szCs w:val="21"/>
        </w:rPr>
      </w:pPr>
      <w:r w:rsidRPr="002E6080">
        <w:rPr>
          <w:rFonts w:asciiTheme="majorBidi" w:hAnsiTheme="majorBidi" w:cstheme="majorBidi"/>
          <w:sz w:val="21"/>
          <w:szCs w:val="21"/>
        </w:rPr>
        <w:t>chaired by SRSG, overall oversight for PSEA, provides policy and strategic direction</w:t>
      </w:r>
      <w:r w:rsidR="00091716" w:rsidRPr="002E6080">
        <w:rPr>
          <w:rFonts w:asciiTheme="majorBidi" w:hAnsiTheme="majorBidi" w:cstheme="majorBidi"/>
          <w:sz w:val="21"/>
          <w:szCs w:val="21"/>
        </w:rPr>
        <w:t xml:space="preserve"> for PSEA and maintains overall accountability.</w:t>
      </w:r>
    </w:p>
    <w:p w14:paraId="6166DB8F" w14:textId="0B28CC5A" w:rsidR="00091716" w:rsidRDefault="00091716" w:rsidP="005F7972">
      <w:pPr>
        <w:spacing w:line="240" w:lineRule="auto"/>
        <w:jc w:val="both"/>
        <w:rPr>
          <w:rFonts w:asciiTheme="majorBidi" w:hAnsiTheme="majorBidi" w:cstheme="majorBidi"/>
          <w:sz w:val="10"/>
          <w:szCs w:val="10"/>
        </w:rPr>
      </w:pPr>
    </w:p>
    <w:p w14:paraId="37344D12" w14:textId="6C7D841A" w:rsidR="00123234" w:rsidRDefault="00123234" w:rsidP="005F7972">
      <w:pPr>
        <w:spacing w:line="240" w:lineRule="auto"/>
        <w:jc w:val="both"/>
        <w:rPr>
          <w:rFonts w:asciiTheme="majorBidi" w:hAnsiTheme="majorBidi" w:cstheme="majorBidi"/>
          <w:sz w:val="10"/>
          <w:szCs w:val="10"/>
        </w:rPr>
      </w:pPr>
    </w:p>
    <w:p w14:paraId="2641CE1C" w14:textId="77777777" w:rsidR="00123234" w:rsidRPr="002E6080" w:rsidRDefault="00123234" w:rsidP="005F7972">
      <w:pPr>
        <w:spacing w:line="240" w:lineRule="auto"/>
        <w:jc w:val="both"/>
        <w:rPr>
          <w:rFonts w:asciiTheme="majorBidi" w:hAnsiTheme="majorBidi" w:cstheme="majorBidi"/>
          <w:sz w:val="10"/>
          <w:szCs w:val="10"/>
        </w:rPr>
      </w:pPr>
    </w:p>
    <w:p w14:paraId="62FC01E9" w14:textId="12444B17" w:rsidR="00091716" w:rsidRPr="002A5780" w:rsidRDefault="00091716" w:rsidP="008F16FC">
      <w:pPr>
        <w:shd w:val="clear" w:color="auto" w:fill="B4C6E7" w:themeFill="accent1" w:themeFillTint="66"/>
        <w:spacing w:line="240" w:lineRule="auto"/>
        <w:jc w:val="both"/>
        <w:rPr>
          <w:rFonts w:asciiTheme="majorBidi" w:hAnsiTheme="majorBidi" w:cstheme="majorBidi"/>
          <w:b/>
          <w:bCs/>
          <w:sz w:val="28"/>
          <w:szCs w:val="28"/>
          <w:lang w:val="en-US"/>
        </w:rPr>
      </w:pPr>
      <w:r w:rsidRPr="002A5780">
        <w:rPr>
          <w:rFonts w:asciiTheme="majorBidi" w:hAnsiTheme="majorBidi" w:cstheme="majorBidi"/>
          <w:b/>
          <w:bCs/>
          <w:sz w:val="28"/>
          <w:szCs w:val="28"/>
          <w:lang w:val="en-US"/>
        </w:rPr>
        <w:t>Monitoring and Evaluation</w:t>
      </w:r>
    </w:p>
    <w:p w14:paraId="78E22CDF" w14:textId="77777777" w:rsidR="00091716" w:rsidRPr="002E6080" w:rsidRDefault="00091716" w:rsidP="005F7972">
      <w:pPr>
        <w:spacing w:line="240" w:lineRule="auto"/>
        <w:jc w:val="both"/>
        <w:rPr>
          <w:rFonts w:asciiTheme="majorBidi" w:hAnsiTheme="majorBidi" w:cstheme="majorBidi"/>
          <w:sz w:val="10"/>
          <w:szCs w:val="10"/>
          <w:lang w:val="en-US"/>
        </w:rPr>
      </w:pPr>
    </w:p>
    <w:p w14:paraId="721CE877" w14:textId="02D8B947" w:rsidR="008F16FC" w:rsidRPr="008F16FC" w:rsidRDefault="008F16FC" w:rsidP="00D9100D">
      <w:pPr>
        <w:pStyle w:val="ListParagraph"/>
        <w:numPr>
          <w:ilvl w:val="0"/>
          <w:numId w:val="19"/>
        </w:numPr>
        <w:spacing w:line="240" w:lineRule="auto"/>
        <w:jc w:val="both"/>
        <w:rPr>
          <w:rFonts w:asciiTheme="majorBidi" w:hAnsiTheme="majorBidi" w:cstheme="majorBidi"/>
          <w:color w:val="0070C0"/>
        </w:rPr>
      </w:pPr>
      <w:r>
        <w:rPr>
          <w:rFonts w:asciiTheme="majorBidi" w:hAnsiTheme="majorBidi" w:cstheme="majorBidi"/>
          <w:lang w:val="en-US"/>
        </w:rPr>
        <w:t>M</w:t>
      </w:r>
      <w:r w:rsidRPr="00D9100D">
        <w:rPr>
          <w:rFonts w:asciiTheme="majorBidi" w:hAnsiTheme="majorBidi" w:cstheme="majorBidi"/>
        </w:rPr>
        <w:t>onitoring and evaluation plan and tools funded under DSRSG/HC/RC Office’s co-shared costs</w:t>
      </w:r>
    </w:p>
    <w:p w14:paraId="6FDE661A" w14:textId="59827B58" w:rsidR="00A2615E" w:rsidRPr="008F16FC" w:rsidRDefault="00A2615E" w:rsidP="00D9100D">
      <w:pPr>
        <w:pStyle w:val="ListParagraph"/>
        <w:numPr>
          <w:ilvl w:val="0"/>
          <w:numId w:val="19"/>
        </w:numPr>
        <w:spacing w:line="240" w:lineRule="auto"/>
        <w:jc w:val="both"/>
        <w:rPr>
          <w:rFonts w:asciiTheme="majorBidi" w:hAnsiTheme="majorBidi" w:cstheme="majorBidi"/>
          <w:color w:val="0070C0"/>
        </w:rPr>
      </w:pPr>
      <w:r w:rsidRPr="00D9100D">
        <w:rPr>
          <w:rFonts w:asciiTheme="majorBidi" w:hAnsiTheme="majorBidi" w:cstheme="majorBidi"/>
        </w:rPr>
        <w:t>Results and Resources Framework and annual inter-</w:t>
      </w:r>
      <w:r w:rsidR="00757A30" w:rsidRPr="00D9100D">
        <w:rPr>
          <w:rFonts w:asciiTheme="majorBidi" w:hAnsiTheme="majorBidi" w:cstheme="majorBidi"/>
        </w:rPr>
        <w:t>agency</w:t>
      </w:r>
      <w:r w:rsidRPr="00D9100D">
        <w:rPr>
          <w:rFonts w:asciiTheme="majorBidi" w:hAnsiTheme="majorBidi" w:cstheme="majorBidi"/>
        </w:rPr>
        <w:t xml:space="preserve"> work plans and reports</w:t>
      </w:r>
    </w:p>
    <w:p w14:paraId="4BD4F0B7" w14:textId="0D124C51" w:rsidR="00A2615E" w:rsidRPr="006E6D41" w:rsidRDefault="0089427A" w:rsidP="00D9100D">
      <w:pPr>
        <w:pStyle w:val="ListParagraph"/>
        <w:numPr>
          <w:ilvl w:val="0"/>
          <w:numId w:val="19"/>
        </w:numPr>
        <w:spacing w:line="240" w:lineRule="auto"/>
        <w:jc w:val="both"/>
        <w:rPr>
          <w:rFonts w:asciiTheme="majorBidi" w:hAnsiTheme="majorBidi" w:cstheme="majorBidi"/>
          <w:color w:val="0070C0"/>
        </w:rPr>
      </w:pPr>
      <w:r>
        <w:rPr>
          <w:rFonts w:asciiTheme="majorBidi" w:hAnsiTheme="majorBidi" w:cstheme="majorBidi"/>
        </w:rPr>
        <w:t>F</w:t>
      </w:r>
      <w:r w:rsidR="005968DB" w:rsidRPr="00D9100D">
        <w:rPr>
          <w:rFonts w:asciiTheme="majorBidi" w:hAnsiTheme="majorBidi" w:cstheme="majorBidi"/>
        </w:rPr>
        <w:t>ield level visits, reports to SG, annual review and annual report, baseline study before the end of strategy</w:t>
      </w:r>
    </w:p>
    <w:p w14:paraId="6D537152" w14:textId="1DE2C90A" w:rsidR="006E6D41" w:rsidRDefault="006E6D41" w:rsidP="006E6D41">
      <w:pPr>
        <w:spacing w:line="240" w:lineRule="auto"/>
        <w:jc w:val="both"/>
        <w:rPr>
          <w:rFonts w:asciiTheme="majorBidi" w:hAnsiTheme="majorBidi" w:cstheme="majorBidi"/>
          <w:color w:val="0070C0"/>
          <w:sz w:val="10"/>
          <w:szCs w:val="10"/>
        </w:rPr>
      </w:pPr>
    </w:p>
    <w:p w14:paraId="20474141" w14:textId="689F0C10" w:rsidR="00123234" w:rsidRDefault="00123234" w:rsidP="006E6D41">
      <w:pPr>
        <w:spacing w:line="240" w:lineRule="auto"/>
        <w:jc w:val="both"/>
        <w:rPr>
          <w:rFonts w:asciiTheme="majorBidi" w:hAnsiTheme="majorBidi" w:cstheme="majorBidi"/>
          <w:color w:val="0070C0"/>
          <w:sz w:val="10"/>
          <w:szCs w:val="10"/>
        </w:rPr>
      </w:pPr>
    </w:p>
    <w:p w14:paraId="389EBD85" w14:textId="3CD96CE3" w:rsidR="00123234" w:rsidRDefault="00123234" w:rsidP="006E6D41">
      <w:pPr>
        <w:spacing w:line="240" w:lineRule="auto"/>
        <w:jc w:val="both"/>
        <w:rPr>
          <w:rFonts w:asciiTheme="majorBidi" w:hAnsiTheme="majorBidi" w:cstheme="majorBidi"/>
          <w:color w:val="0070C0"/>
          <w:sz w:val="10"/>
          <w:szCs w:val="10"/>
        </w:rPr>
      </w:pPr>
    </w:p>
    <w:p w14:paraId="7C330492" w14:textId="77777777" w:rsidR="00123234" w:rsidRPr="002E6080" w:rsidRDefault="00123234" w:rsidP="006E6D41">
      <w:pPr>
        <w:spacing w:line="240" w:lineRule="auto"/>
        <w:jc w:val="both"/>
        <w:rPr>
          <w:rFonts w:asciiTheme="majorBidi" w:hAnsiTheme="majorBidi" w:cstheme="majorBidi"/>
          <w:color w:val="0070C0"/>
          <w:sz w:val="10"/>
          <w:szCs w:val="10"/>
        </w:rPr>
      </w:pPr>
    </w:p>
    <w:p w14:paraId="372A9274" w14:textId="77FC64A5" w:rsidR="006E6D41" w:rsidRPr="00E0611C" w:rsidRDefault="006E6D41" w:rsidP="00A70F15">
      <w:pPr>
        <w:pStyle w:val="NoSpacing"/>
        <w:shd w:val="clear" w:color="auto" w:fill="2F5496" w:themeFill="accent1" w:themeFillShade="BF"/>
        <w:jc w:val="both"/>
        <w:rPr>
          <w:rFonts w:cs="Times New Roman"/>
          <w:b/>
          <w:bCs/>
          <w:color w:val="FFFFFF" w:themeColor="background1"/>
          <w:sz w:val="28"/>
          <w:szCs w:val="28"/>
        </w:rPr>
      </w:pPr>
      <w:r w:rsidRPr="00E0611C">
        <w:rPr>
          <w:rFonts w:cs="Times New Roman"/>
          <w:b/>
          <w:bCs/>
          <w:color w:val="FFFFFF" w:themeColor="background1"/>
          <w:sz w:val="28"/>
          <w:szCs w:val="28"/>
        </w:rPr>
        <w:t>Contacts PSEA Task Force</w:t>
      </w:r>
    </w:p>
    <w:p w14:paraId="7EA31583" w14:textId="77777777" w:rsidR="00A70F15" w:rsidRPr="002E6080" w:rsidRDefault="00A70F15" w:rsidP="00A70F15">
      <w:pPr>
        <w:pStyle w:val="NoSpacing"/>
        <w:shd w:val="clear" w:color="auto" w:fill="2F5496" w:themeFill="accent1" w:themeFillShade="BF"/>
        <w:jc w:val="both"/>
        <w:rPr>
          <w:rFonts w:cs="Times New Roman"/>
          <w:b/>
          <w:bCs/>
          <w:color w:val="FFFFFF" w:themeColor="background1"/>
          <w:sz w:val="10"/>
          <w:szCs w:val="10"/>
        </w:rPr>
      </w:pPr>
    </w:p>
    <w:p w14:paraId="774131BF" w14:textId="77777777" w:rsidR="006E6D41" w:rsidRPr="00A70F15" w:rsidRDefault="006E6D41" w:rsidP="00A70F15">
      <w:pPr>
        <w:pStyle w:val="NoSpacing"/>
        <w:shd w:val="clear" w:color="auto" w:fill="2F5496" w:themeFill="accent1" w:themeFillShade="BF"/>
        <w:jc w:val="both"/>
        <w:rPr>
          <w:rFonts w:cs="Times New Roman"/>
          <w:color w:val="FFFFFF" w:themeColor="background1"/>
        </w:rPr>
      </w:pPr>
      <w:r w:rsidRPr="00A70F15">
        <w:rPr>
          <w:rFonts w:cs="Times New Roman"/>
          <w:color w:val="FFFFFF" w:themeColor="background1"/>
        </w:rPr>
        <w:t xml:space="preserve">South Sudan hotline: 0912100012 / 0920111333 / 0920111888 </w:t>
      </w:r>
    </w:p>
    <w:p w14:paraId="1B1E62C7" w14:textId="77777777" w:rsidR="006E6D41" w:rsidRPr="00A70F15" w:rsidRDefault="006E6D41" w:rsidP="00A70F15">
      <w:pPr>
        <w:pStyle w:val="NoSpacing"/>
        <w:shd w:val="clear" w:color="auto" w:fill="2F5496" w:themeFill="accent1" w:themeFillShade="BF"/>
        <w:jc w:val="both"/>
        <w:rPr>
          <w:rFonts w:cs="Times New Roman"/>
          <w:color w:val="FFFFFF" w:themeColor="background1"/>
        </w:rPr>
      </w:pPr>
      <w:r w:rsidRPr="00A70F15">
        <w:rPr>
          <w:rFonts w:cs="Times New Roman"/>
          <w:color w:val="FFFFFF" w:themeColor="background1"/>
        </w:rPr>
        <w:t xml:space="preserve">Email: </w:t>
      </w:r>
      <w:hyperlink r:id="rId7" w:history="1">
        <w:r w:rsidRPr="00A70F15">
          <w:rPr>
            <w:rStyle w:val="Hyperlink"/>
            <w:rFonts w:cs="Times New Roman"/>
            <w:color w:val="FFFFFF" w:themeColor="background1"/>
          </w:rPr>
          <w:t>pseass@unfpa.org</w:t>
        </w:r>
      </w:hyperlink>
    </w:p>
    <w:p w14:paraId="7943C006" w14:textId="489802DD" w:rsidR="006E6D41" w:rsidRPr="002E6080" w:rsidRDefault="006E6D41" w:rsidP="002E6080">
      <w:pPr>
        <w:pStyle w:val="NoSpacing"/>
        <w:shd w:val="clear" w:color="auto" w:fill="2F5496" w:themeFill="accent1" w:themeFillShade="BF"/>
        <w:jc w:val="both"/>
        <w:rPr>
          <w:rFonts w:cs="Times New Roman"/>
          <w:color w:val="FFFFFF" w:themeColor="background1"/>
        </w:rPr>
      </w:pPr>
      <w:r w:rsidRPr="00A70F15">
        <w:rPr>
          <w:rFonts w:cs="Times New Roman"/>
          <w:color w:val="FFFFFF" w:themeColor="background1"/>
        </w:rPr>
        <w:lastRenderedPageBreak/>
        <w:t xml:space="preserve">Website: </w:t>
      </w:r>
      <w:hyperlink r:id="rId8" w:history="1">
        <w:r w:rsidRPr="00A70F15">
          <w:rPr>
            <w:rStyle w:val="Hyperlink"/>
            <w:rFonts w:cs="Times New Roman"/>
            <w:color w:val="FFFFFF" w:themeColor="background1"/>
          </w:rPr>
          <w:t>http://ss.one.un.org</w:t>
        </w:r>
      </w:hyperlink>
      <w:r w:rsidRPr="00A70F15">
        <w:rPr>
          <w:rFonts w:cs="Times New Roman"/>
          <w:color w:val="FFFFFF" w:themeColor="background1"/>
        </w:rPr>
        <w:t xml:space="preserve"> </w:t>
      </w:r>
    </w:p>
    <w:sectPr w:rsidR="006E6D41" w:rsidRPr="002E6080" w:rsidSect="00A537DB">
      <w:headerReference w:type="even" r:id="rId9"/>
      <w:headerReference w:type="default" r:id="rId10"/>
      <w:footerReference w:type="even" r:id="rId11"/>
      <w:footerReference w:type="default" r:id="rId12"/>
      <w:headerReference w:type="first" r:id="rId13"/>
      <w:footerReference w:type="first" r:id="rId14"/>
      <w:pgSz w:w="11906" w:h="16838"/>
      <w:pgMar w:top="851" w:right="849" w:bottom="851" w:left="1134" w:header="708" w:footer="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F86A5" w14:textId="77777777" w:rsidR="00180240" w:rsidRDefault="00180240" w:rsidP="00BE1309">
      <w:pPr>
        <w:spacing w:line="240" w:lineRule="auto"/>
      </w:pPr>
      <w:r>
        <w:separator/>
      </w:r>
    </w:p>
  </w:endnote>
  <w:endnote w:type="continuationSeparator" w:id="0">
    <w:p w14:paraId="5BB63476" w14:textId="77777777" w:rsidR="00180240" w:rsidRDefault="00180240" w:rsidP="00BE1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15CF" w14:textId="77777777" w:rsidR="00A76A05" w:rsidRDefault="00A76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476920"/>
      <w:docPartObj>
        <w:docPartGallery w:val="Page Numbers (Bottom of Page)"/>
        <w:docPartUnique/>
      </w:docPartObj>
    </w:sdtPr>
    <w:sdtEndPr>
      <w:rPr>
        <w:noProof/>
      </w:rPr>
    </w:sdtEndPr>
    <w:sdtContent>
      <w:p w14:paraId="1460A323" w14:textId="65470171" w:rsidR="00BE1309" w:rsidRDefault="00BE1309" w:rsidP="00A537DB">
        <w:pPr>
          <w:pStyle w:val="Footer"/>
          <w:jc w:val="center"/>
        </w:pPr>
        <w:r>
          <w:fldChar w:fldCharType="begin"/>
        </w:r>
        <w:r>
          <w:instrText xml:space="preserve"> PAGE   \* MERGEFORMAT </w:instrText>
        </w:r>
        <w:r>
          <w:fldChar w:fldCharType="separate"/>
        </w:r>
        <w:r w:rsidR="00D142E5">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3F44B" w14:textId="77777777" w:rsidR="00A76A05" w:rsidRDefault="00A76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DBE5" w14:textId="77777777" w:rsidR="00180240" w:rsidRDefault="00180240" w:rsidP="00BE1309">
      <w:pPr>
        <w:spacing w:line="240" w:lineRule="auto"/>
      </w:pPr>
      <w:r>
        <w:separator/>
      </w:r>
    </w:p>
  </w:footnote>
  <w:footnote w:type="continuationSeparator" w:id="0">
    <w:p w14:paraId="0B927684" w14:textId="77777777" w:rsidR="00180240" w:rsidRDefault="00180240" w:rsidP="00BE1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CCF1" w14:textId="77777777" w:rsidR="00A76A05" w:rsidRDefault="00A76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5087" w14:textId="77777777" w:rsidR="00A76A05" w:rsidRDefault="00A7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87617" w14:textId="77777777" w:rsidR="00A76A05" w:rsidRDefault="00A76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70F6"/>
    <w:multiLevelType w:val="hybridMultilevel"/>
    <w:tmpl w:val="7FBCB23C"/>
    <w:lvl w:ilvl="0" w:tplc="F00EF6E0">
      <w:start w:val="2018"/>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00980"/>
    <w:multiLevelType w:val="hybridMultilevel"/>
    <w:tmpl w:val="46BE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10A76"/>
    <w:multiLevelType w:val="hybridMultilevel"/>
    <w:tmpl w:val="E4C6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46385"/>
    <w:multiLevelType w:val="hybridMultilevel"/>
    <w:tmpl w:val="60C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14781"/>
    <w:multiLevelType w:val="hybridMultilevel"/>
    <w:tmpl w:val="AEDCB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A16B6"/>
    <w:multiLevelType w:val="hybridMultilevel"/>
    <w:tmpl w:val="0890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66C6D"/>
    <w:multiLevelType w:val="hybridMultilevel"/>
    <w:tmpl w:val="E69A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405098"/>
    <w:multiLevelType w:val="hybridMultilevel"/>
    <w:tmpl w:val="8CDC6184"/>
    <w:lvl w:ilvl="0" w:tplc="E054A2A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17C8E"/>
    <w:multiLevelType w:val="hybridMultilevel"/>
    <w:tmpl w:val="417229F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5967297"/>
    <w:multiLevelType w:val="hybridMultilevel"/>
    <w:tmpl w:val="C186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E0931"/>
    <w:multiLevelType w:val="hybridMultilevel"/>
    <w:tmpl w:val="98C07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004B25"/>
    <w:multiLevelType w:val="multilevel"/>
    <w:tmpl w:val="0114A2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2A28BC"/>
    <w:multiLevelType w:val="hybridMultilevel"/>
    <w:tmpl w:val="FF5A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82CF3"/>
    <w:multiLevelType w:val="hybridMultilevel"/>
    <w:tmpl w:val="69AC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406E60"/>
    <w:multiLevelType w:val="hybridMultilevel"/>
    <w:tmpl w:val="42D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74A62"/>
    <w:multiLevelType w:val="hybridMultilevel"/>
    <w:tmpl w:val="8FBA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93D84"/>
    <w:multiLevelType w:val="hybridMultilevel"/>
    <w:tmpl w:val="69D6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50D3A"/>
    <w:multiLevelType w:val="hybridMultilevel"/>
    <w:tmpl w:val="814E2F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96346"/>
    <w:multiLevelType w:val="hybridMultilevel"/>
    <w:tmpl w:val="6ED20D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E13BD"/>
    <w:multiLevelType w:val="hybridMultilevel"/>
    <w:tmpl w:val="02A27A6C"/>
    <w:lvl w:ilvl="0" w:tplc="9E9060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C6B22"/>
    <w:multiLevelType w:val="hybridMultilevel"/>
    <w:tmpl w:val="D898E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A74AE"/>
    <w:multiLevelType w:val="hybridMultilevel"/>
    <w:tmpl w:val="318C166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36D80"/>
    <w:multiLevelType w:val="hybridMultilevel"/>
    <w:tmpl w:val="128C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DF15C8"/>
    <w:multiLevelType w:val="hybridMultilevel"/>
    <w:tmpl w:val="845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205C9"/>
    <w:multiLevelType w:val="hybridMultilevel"/>
    <w:tmpl w:val="4208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7"/>
  </w:num>
  <w:num w:numId="4">
    <w:abstractNumId w:val="11"/>
  </w:num>
  <w:num w:numId="5">
    <w:abstractNumId w:val="20"/>
  </w:num>
  <w:num w:numId="6">
    <w:abstractNumId w:val="14"/>
  </w:num>
  <w:num w:numId="7">
    <w:abstractNumId w:val="16"/>
  </w:num>
  <w:num w:numId="8">
    <w:abstractNumId w:val="19"/>
  </w:num>
  <w:num w:numId="9">
    <w:abstractNumId w:val="0"/>
  </w:num>
  <w:num w:numId="10">
    <w:abstractNumId w:val="21"/>
  </w:num>
  <w:num w:numId="11">
    <w:abstractNumId w:val="10"/>
  </w:num>
  <w:num w:numId="12">
    <w:abstractNumId w:val="8"/>
  </w:num>
  <w:num w:numId="13">
    <w:abstractNumId w:val="12"/>
  </w:num>
  <w:num w:numId="14">
    <w:abstractNumId w:val="22"/>
  </w:num>
  <w:num w:numId="15">
    <w:abstractNumId w:val="24"/>
  </w:num>
  <w:num w:numId="16">
    <w:abstractNumId w:val="5"/>
  </w:num>
  <w:num w:numId="17">
    <w:abstractNumId w:val="1"/>
  </w:num>
  <w:num w:numId="18">
    <w:abstractNumId w:val="17"/>
  </w:num>
  <w:num w:numId="19">
    <w:abstractNumId w:val="2"/>
  </w:num>
  <w:num w:numId="20">
    <w:abstractNumId w:val="4"/>
  </w:num>
  <w:num w:numId="21">
    <w:abstractNumId w:val="23"/>
  </w:num>
  <w:num w:numId="22">
    <w:abstractNumId w:val="3"/>
  </w:num>
  <w:num w:numId="23">
    <w:abstractNumId w:val="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4FC"/>
    <w:rsid w:val="00013D9D"/>
    <w:rsid w:val="000246C8"/>
    <w:rsid w:val="0004160E"/>
    <w:rsid w:val="000629C0"/>
    <w:rsid w:val="000769A0"/>
    <w:rsid w:val="00077AB7"/>
    <w:rsid w:val="00084B15"/>
    <w:rsid w:val="00091716"/>
    <w:rsid w:val="000A2DE2"/>
    <w:rsid w:val="000B5581"/>
    <w:rsid w:val="000B645B"/>
    <w:rsid w:val="000B6B70"/>
    <w:rsid w:val="000D7087"/>
    <w:rsid w:val="000F7063"/>
    <w:rsid w:val="00123234"/>
    <w:rsid w:val="00137E8D"/>
    <w:rsid w:val="0014581A"/>
    <w:rsid w:val="00167F29"/>
    <w:rsid w:val="00171FF2"/>
    <w:rsid w:val="00180240"/>
    <w:rsid w:val="0018403E"/>
    <w:rsid w:val="001A0398"/>
    <w:rsid w:val="001A6415"/>
    <w:rsid w:val="001C16B7"/>
    <w:rsid w:val="002110B3"/>
    <w:rsid w:val="002216DB"/>
    <w:rsid w:val="0026214F"/>
    <w:rsid w:val="002969AD"/>
    <w:rsid w:val="002A5780"/>
    <w:rsid w:val="002A6A6C"/>
    <w:rsid w:val="002C1C8C"/>
    <w:rsid w:val="002D2D8C"/>
    <w:rsid w:val="002E6080"/>
    <w:rsid w:val="0034299B"/>
    <w:rsid w:val="00357E03"/>
    <w:rsid w:val="00360DE9"/>
    <w:rsid w:val="00363837"/>
    <w:rsid w:val="00370577"/>
    <w:rsid w:val="00370644"/>
    <w:rsid w:val="00395158"/>
    <w:rsid w:val="003B2893"/>
    <w:rsid w:val="003E16A4"/>
    <w:rsid w:val="00403A2E"/>
    <w:rsid w:val="00415D68"/>
    <w:rsid w:val="00422BF3"/>
    <w:rsid w:val="00430128"/>
    <w:rsid w:val="00451885"/>
    <w:rsid w:val="004627DB"/>
    <w:rsid w:val="004819F0"/>
    <w:rsid w:val="0048356A"/>
    <w:rsid w:val="004A2545"/>
    <w:rsid w:val="004C69BD"/>
    <w:rsid w:val="004D5C61"/>
    <w:rsid w:val="00503BFD"/>
    <w:rsid w:val="00505689"/>
    <w:rsid w:val="00506057"/>
    <w:rsid w:val="00507400"/>
    <w:rsid w:val="0052187C"/>
    <w:rsid w:val="00523C64"/>
    <w:rsid w:val="00562DA0"/>
    <w:rsid w:val="00574E86"/>
    <w:rsid w:val="005942A7"/>
    <w:rsid w:val="005968DB"/>
    <w:rsid w:val="005A3C71"/>
    <w:rsid w:val="005A6818"/>
    <w:rsid w:val="005B0E24"/>
    <w:rsid w:val="005F7972"/>
    <w:rsid w:val="00623CF2"/>
    <w:rsid w:val="00664EFD"/>
    <w:rsid w:val="00675806"/>
    <w:rsid w:val="00677455"/>
    <w:rsid w:val="00680A8F"/>
    <w:rsid w:val="00693C8C"/>
    <w:rsid w:val="00697107"/>
    <w:rsid w:val="006B164D"/>
    <w:rsid w:val="006B3D10"/>
    <w:rsid w:val="006E14D3"/>
    <w:rsid w:val="006E6D41"/>
    <w:rsid w:val="00703C69"/>
    <w:rsid w:val="00706487"/>
    <w:rsid w:val="00735970"/>
    <w:rsid w:val="007379C1"/>
    <w:rsid w:val="00741132"/>
    <w:rsid w:val="00741835"/>
    <w:rsid w:val="00757A30"/>
    <w:rsid w:val="00766635"/>
    <w:rsid w:val="007721EF"/>
    <w:rsid w:val="00794991"/>
    <w:rsid w:val="007B76AB"/>
    <w:rsid w:val="007F57DA"/>
    <w:rsid w:val="00800B01"/>
    <w:rsid w:val="008033A9"/>
    <w:rsid w:val="0080736B"/>
    <w:rsid w:val="00810C50"/>
    <w:rsid w:val="00812121"/>
    <w:rsid w:val="0089427A"/>
    <w:rsid w:val="008B0176"/>
    <w:rsid w:val="008B5A84"/>
    <w:rsid w:val="008C1A09"/>
    <w:rsid w:val="008C35A0"/>
    <w:rsid w:val="008D4145"/>
    <w:rsid w:val="008D765B"/>
    <w:rsid w:val="008F09AB"/>
    <w:rsid w:val="008F16FC"/>
    <w:rsid w:val="008F178B"/>
    <w:rsid w:val="009144FC"/>
    <w:rsid w:val="0094067A"/>
    <w:rsid w:val="009564AF"/>
    <w:rsid w:val="00971739"/>
    <w:rsid w:val="009D0472"/>
    <w:rsid w:val="009F6ADB"/>
    <w:rsid w:val="00A2615E"/>
    <w:rsid w:val="00A537DB"/>
    <w:rsid w:val="00A70F15"/>
    <w:rsid w:val="00A76A05"/>
    <w:rsid w:val="00AA7744"/>
    <w:rsid w:val="00AC00F1"/>
    <w:rsid w:val="00AC70EE"/>
    <w:rsid w:val="00AD7BB9"/>
    <w:rsid w:val="00AF52B2"/>
    <w:rsid w:val="00AF5719"/>
    <w:rsid w:val="00B35853"/>
    <w:rsid w:val="00B7551E"/>
    <w:rsid w:val="00B9110C"/>
    <w:rsid w:val="00B95594"/>
    <w:rsid w:val="00BA7213"/>
    <w:rsid w:val="00BC5D16"/>
    <w:rsid w:val="00BD7312"/>
    <w:rsid w:val="00BE1309"/>
    <w:rsid w:val="00BF24EC"/>
    <w:rsid w:val="00C06DA8"/>
    <w:rsid w:val="00C20C5B"/>
    <w:rsid w:val="00C336B1"/>
    <w:rsid w:val="00C569B2"/>
    <w:rsid w:val="00C63C68"/>
    <w:rsid w:val="00C7672D"/>
    <w:rsid w:val="00C814CC"/>
    <w:rsid w:val="00C90FC3"/>
    <w:rsid w:val="00CB3AA6"/>
    <w:rsid w:val="00CC3525"/>
    <w:rsid w:val="00CD1809"/>
    <w:rsid w:val="00CD2504"/>
    <w:rsid w:val="00CD5911"/>
    <w:rsid w:val="00D063FA"/>
    <w:rsid w:val="00D142E5"/>
    <w:rsid w:val="00D4090D"/>
    <w:rsid w:val="00D53CE8"/>
    <w:rsid w:val="00D9100D"/>
    <w:rsid w:val="00DA199E"/>
    <w:rsid w:val="00DA42F1"/>
    <w:rsid w:val="00DA5D6E"/>
    <w:rsid w:val="00DD3176"/>
    <w:rsid w:val="00E0611C"/>
    <w:rsid w:val="00E1227F"/>
    <w:rsid w:val="00E2767F"/>
    <w:rsid w:val="00E673A7"/>
    <w:rsid w:val="00E74FD4"/>
    <w:rsid w:val="00E83534"/>
    <w:rsid w:val="00E91BEC"/>
    <w:rsid w:val="00E95141"/>
    <w:rsid w:val="00EA4682"/>
    <w:rsid w:val="00ED2AD9"/>
    <w:rsid w:val="00EE2760"/>
    <w:rsid w:val="00EF0F6C"/>
    <w:rsid w:val="00EF6AB6"/>
    <w:rsid w:val="00EF7871"/>
    <w:rsid w:val="00F01746"/>
    <w:rsid w:val="00F11316"/>
    <w:rsid w:val="00F20B29"/>
    <w:rsid w:val="00F3560B"/>
    <w:rsid w:val="00F463B8"/>
    <w:rsid w:val="00F53FEE"/>
    <w:rsid w:val="00F87187"/>
    <w:rsid w:val="00FC0657"/>
    <w:rsid w:val="00FC2D89"/>
    <w:rsid w:val="00FD0276"/>
    <w:rsid w:val="00FD2FE5"/>
    <w:rsid w:val="00FD48D9"/>
    <w:rsid w:val="00FF132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D415EA"/>
  <w15:chartTrackingRefBased/>
  <w15:docId w15:val="{3C113E39-9DB6-4BFF-946B-2654DAF6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BB9"/>
    <w:pPr>
      <w:ind w:left="720"/>
      <w:contextualSpacing/>
    </w:pPr>
  </w:style>
  <w:style w:type="paragraph" w:styleId="Header">
    <w:name w:val="header"/>
    <w:basedOn w:val="Normal"/>
    <w:link w:val="HeaderChar"/>
    <w:uiPriority w:val="99"/>
    <w:unhideWhenUsed/>
    <w:rsid w:val="00BE1309"/>
    <w:pPr>
      <w:tabs>
        <w:tab w:val="center" w:pos="4513"/>
        <w:tab w:val="right" w:pos="9026"/>
      </w:tabs>
      <w:spacing w:line="240" w:lineRule="auto"/>
    </w:pPr>
  </w:style>
  <w:style w:type="character" w:customStyle="1" w:styleId="HeaderChar">
    <w:name w:val="Header Char"/>
    <w:basedOn w:val="DefaultParagraphFont"/>
    <w:link w:val="Header"/>
    <w:uiPriority w:val="99"/>
    <w:rsid w:val="00BE1309"/>
  </w:style>
  <w:style w:type="paragraph" w:styleId="Footer">
    <w:name w:val="footer"/>
    <w:basedOn w:val="Normal"/>
    <w:link w:val="FooterChar"/>
    <w:uiPriority w:val="99"/>
    <w:unhideWhenUsed/>
    <w:rsid w:val="00BE1309"/>
    <w:pPr>
      <w:tabs>
        <w:tab w:val="center" w:pos="4513"/>
        <w:tab w:val="right" w:pos="9026"/>
      </w:tabs>
      <w:spacing w:line="240" w:lineRule="auto"/>
    </w:pPr>
  </w:style>
  <w:style w:type="character" w:customStyle="1" w:styleId="FooterChar">
    <w:name w:val="Footer Char"/>
    <w:basedOn w:val="DefaultParagraphFont"/>
    <w:link w:val="Footer"/>
    <w:uiPriority w:val="99"/>
    <w:rsid w:val="00BE1309"/>
  </w:style>
  <w:style w:type="character" w:customStyle="1" w:styleId="NoSpacingChar">
    <w:name w:val="No Spacing Char"/>
    <w:basedOn w:val="DefaultParagraphFont"/>
    <w:link w:val="NoSpacing"/>
    <w:uiPriority w:val="1"/>
    <w:locked/>
    <w:rsid w:val="006E6D41"/>
  </w:style>
  <w:style w:type="paragraph" w:styleId="NoSpacing">
    <w:name w:val="No Spacing"/>
    <w:link w:val="NoSpacingChar"/>
    <w:uiPriority w:val="1"/>
    <w:qFormat/>
    <w:rsid w:val="006E6D41"/>
    <w:pPr>
      <w:spacing w:line="240" w:lineRule="auto"/>
    </w:pPr>
  </w:style>
  <w:style w:type="character" w:styleId="Hyperlink">
    <w:name w:val="Hyperlink"/>
    <w:basedOn w:val="DefaultParagraphFont"/>
    <w:uiPriority w:val="99"/>
    <w:unhideWhenUsed/>
    <w:rsid w:val="006E6D41"/>
    <w:rPr>
      <w:color w:val="0563C1" w:themeColor="hyperlink"/>
      <w:u w:val="single"/>
    </w:rPr>
  </w:style>
  <w:style w:type="paragraph" w:styleId="BalloonText">
    <w:name w:val="Balloon Text"/>
    <w:basedOn w:val="Normal"/>
    <w:link w:val="BalloonTextChar"/>
    <w:uiPriority w:val="99"/>
    <w:semiHidden/>
    <w:unhideWhenUsed/>
    <w:rsid w:val="00E91B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e.u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seass@unfp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Krasimira Antimova</dc:creator>
  <cp:keywords/>
  <dc:description/>
  <cp:lastModifiedBy>HILEMAN Alexandra</cp:lastModifiedBy>
  <cp:revision>2</cp:revision>
  <cp:lastPrinted>2019-01-17T08:30:00Z</cp:lastPrinted>
  <dcterms:created xsi:type="dcterms:W3CDTF">2020-07-28T15:14:00Z</dcterms:created>
  <dcterms:modified xsi:type="dcterms:W3CDTF">2020-07-28T15:14:00Z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2020-07-28T15:13:56Z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29ca7792-5005-401a-9e68-55cb8cf2cd4e</vt:lpwstr>
  </property>
  <property fmtid="{D5CDD505-2E9C-101B-9397-08002B2CF9AE}" pid="8" name="MSIP_Label_2059aa38-f392-4105-be92-628035578272_ContentBits">
    <vt:lpwstr>0</vt:lpwstr>
  </property>
</Properties>
</file>