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1879" w:tblpY="6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00" w:firstRow="0" w:lastRow="0" w:firstColumn="0" w:lastColumn="0" w:noHBand="0" w:noVBand="0"/>
      </w:tblPr>
      <w:tblGrid>
        <w:gridCol w:w="8085"/>
      </w:tblGrid>
      <w:tr w:rsidR="00B5152F" w14:paraId="1D7E77B1" w14:textId="77777777" w:rsidTr="00B5152F">
        <w:trPr>
          <w:trHeight w:val="1052"/>
        </w:trPr>
        <w:tc>
          <w:tcPr>
            <w:tcW w:w="8085" w:type="dxa"/>
            <w:shd w:val="clear" w:color="auto" w:fill="00B0F0"/>
          </w:tcPr>
          <w:p w14:paraId="0EADC2E8" w14:textId="77777777" w:rsidR="008A0594" w:rsidRDefault="008A0594" w:rsidP="008A0594">
            <w:pPr>
              <w:pStyle w:val="MediumList2-Accent41"/>
              <w:spacing w:after="120"/>
              <w:ind w:left="0"/>
              <w:contextualSpacing w:val="0"/>
              <w:jc w:val="center"/>
              <w:rPr>
                <w:b/>
                <w:sz w:val="24"/>
                <w:szCs w:val="24"/>
                <w:u w:val="single"/>
              </w:rPr>
            </w:pPr>
            <w:r w:rsidRPr="00DF47E1">
              <w:rPr>
                <w:b/>
                <w:sz w:val="24"/>
                <w:szCs w:val="24"/>
                <w:lang w:val="fr-FR"/>
              </w:rPr>
              <w:t>Protocole de partage d’informations et de rapportage d’allégations d’exploitation et d’abus sexuels (EAS)</w:t>
            </w:r>
          </w:p>
          <w:p w14:paraId="51D8CDB2" w14:textId="3B1B0431" w:rsidR="00B5152F" w:rsidRPr="008A0594" w:rsidRDefault="008A0594" w:rsidP="008A0594">
            <w:pPr>
              <w:pStyle w:val="MediumList2-Accent41"/>
              <w:spacing w:after="120"/>
              <w:ind w:left="0"/>
              <w:jc w:val="center"/>
              <w:rPr>
                <w:b/>
                <w:sz w:val="24"/>
                <w:szCs w:val="24"/>
              </w:rPr>
            </w:pPr>
            <w:r w:rsidRPr="008A0594">
              <w:rPr>
                <w:b/>
                <w:sz w:val="24"/>
                <w:szCs w:val="24"/>
              </w:rPr>
              <w:t>-------------------------------------------------------------</w:t>
            </w:r>
          </w:p>
          <w:p w14:paraId="055809D9" w14:textId="2AC40C7B" w:rsidR="00B5152F" w:rsidRPr="008A0594" w:rsidRDefault="008A0594" w:rsidP="007051D7">
            <w:pPr>
              <w:spacing w:afterLines="80" w:after="192"/>
              <w:ind w:left="900" w:right="1016"/>
              <w:jc w:val="center"/>
              <w:rPr>
                <w:b/>
                <w:sz w:val="24"/>
                <w:szCs w:val="24"/>
                <w:u w:val="single"/>
                <w:lang w:val="fr-FR"/>
              </w:rPr>
            </w:pPr>
            <w:r w:rsidRPr="008A0594">
              <w:rPr>
                <w:b/>
                <w:sz w:val="24"/>
                <w:szCs w:val="24"/>
                <w:lang w:val="fr-FR"/>
              </w:rPr>
              <w:t xml:space="preserve">MINUSCA, </w:t>
            </w:r>
            <w:r w:rsidR="007051D7" w:rsidRPr="008A0594">
              <w:rPr>
                <w:b/>
                <w:sz w:val="24"/>
                <w:szCs w:val="24"/>
                <w:lang w:val="fr-FR"/>
              </w:rPr>
              <w:t>Agenc</w:t>
            </w:r>
            <w:r w:rsidR="00B5152F" w:rsidRPr="008A0594">
              <w:rPr>
                <w:b/>
                <w:sz w:val="24"/>
                <w:szCs w:val="24"/>
                <w:lang w:val="fr-FR"/>
              </w:rPr>
              <w:t>es</w:t>
            </w:r>
            <w:r w:rsidR="007051D7" w:rsidRPr="008A0594">
              <w:rPr>
                <w:b/>
                <w:sz w:val="24"/>
                <w:szCs w:val="24"/>
                <w:lang w:val="fr-FR"/>
              </w:rPr>
              <w:t xml:space="preserve"> des Nations Unies</w:t>
            </w:r>
            <w:r w:rsidR="00B5152F" w:rsidRPr="008A0594">
              <w:rPr>
                <w:b/>
                <w:sz w:val="24"/>
                <w:szCs w:val="24"/>
                <w:lang w:val="fr-FR"/>
              </w:rPr>
              <w:t xml:space="preserve">, </w:t>
            </w:r>
            <w:r w:rsidR="007051D7" w:rsidRPr="008A0594">
              <w:rPr>
                <w:b/>
                <w:sz w:val="24"/>
                <w:szCs w:val="24"/>
                <w:lang w:val="fr-FR"/>
              </w:rPr>
              <w:t xml:space="preserve">ONG </w:t>
            </w:r>
            <w:r w:rsidR="00B5152F" w:rsidRPr="008A0594">
              <w:rPr>
                <w:b/>
                <w:sz w:val="24"/>
                <w:szCs w:val="24"/>
                <w:lang w:val="fr-FR"/>
              </w:rPr>
              <w:t>International</w:t>
            </w:r>
            <w:r w:rsidR="007051D7" w:rsidRPr="008A0594">
              <w:rPr>
                <w:b/>
                <w:sz w:val="24"/>
                <w:szCs w:val="24"/>
                <w:lang w:val="fr-FR"/>
              </w:rPr>
              <w:t>es et Partenaires locaux</w:t>
            </w:r>
          </w:p>
        </w:tc>
      </w:tr>
    </w:tbl>
    <w:p w14:paraId="029FD2A1" w14:textId="77777777" w:rsidR="00FD7FA7" w:rsidRDefault="00FD7FA7" w:rsidP="001D33BF">
      <w:pPr>
        <w:pStyle w:val="MediumList2-Accent41"/>
        <w:spacing w:after="120"/>
        <w:ind w:left="0"/>
        <w:contextualSpacing w:val="0"/>
        <w:jc w:val="both"/>
        <w:rPr>
          <w:sz w:val="24"/>
          <w:szCs w:val="24"/>
        </w:rPr>
      </w:pPr>
    </w:p>
    <w:p w14:paraId="35E8C1C1" w14:textId="77777777" w:rsidR="00B5152F" w:rsidRDefault="00B5152F" w:rsidP="001D33BF">
      <w:pPr>
        <w:pStyle w:val="MediumList2-Accent41"/>
        <w:spacing w:after="120"/>
        <w:ind w:left="0"/>
        <w:contextualSpacing w:val="0"/>
        <w:jc w:val="both"/>
        <w:rPr>
          <w:sz w:val="24"/>
          <w:szCs w:val="24"/>
        </w:rPr>
      </w:pPr>
    </w:p>
    <w:p w14:paraId="3D5DC834" w14:textId="77777777" w:rsidR="00B5152F" w:rsidRDefault="00B5152F" w:rsidP="001D33BF">
      <w:pPr>
        <w:pStyle w:val="MediumList2-Accent41"/>
        <w:spacing w:after="120"/>
        <w:ind w:left="0"/>
        <w:contextualSpacing w:val="0"/>
        <w:jc w:val="both"/>
        <w:rPr>
          <w:sz w:val="24"/>
          <w:szCs w:val="24"/>
        </w:rPr>
      </w:pPr>
    </w:p>
    <w:p w14:paraId="51D64A7B" w14:textId="77777777" w:rsidR="00B5152F" w:rsidRDefault="00B5152F" w:rsidP="001D33BF">
      <w:pPr>
        <w:pStyle w:val="MediumList2-Accent41"/>
        <w:spacing w:after="120"/>
        <w:ind w:left="0"/>
        <w:contextualSpacing w:val="0"/>
        <w:jc w:val="both"/>
        <w:rPr>
          <w:sz w:val="24"/>
          <w:szCs w:val="24"/>
        </w:rPr>
      </w:pPr>
    </w:p>
    <w:p w14:paraId="24F4377D" w14:textId="77777777" w:rsidR="00B5152F" w:rsidRDefault="00B5152F" w:rsidP="001D33BF">
      <w:pPr>
        <w:pStyle w:val="MediumList2-Accent41"/>
        <w:spacing w:after="120"/>
        <w:ind w:left="0"/>
        <w:contextualSpacing w:val="0"/>
        <w:jc w:val="both"/>
        <w:rPr>
          <w:sz w:val="24"/>
          <w:szCs w:val="24"/>
        </w:rPr>
      </w:pPr>
    </w:p>
    <w:p w14:paraId="480171FA" w14:textId="77777777" w:rsidR="00B5152F" w:rsidRDefault="00B5152F" w:rsidP="001D33BF">
      <w:pPr>
        <w:pStyle w:val="MediumList2-Accent41"/>
        <w:spacing w:after="120"/>
        <w:ind w:left="0"/>
        <w:contextualSpacing w:val="0"/>
        <w:jc w:val="both"/>
        <w:rPr>
          <w:sz w:val="24"/>
          <w:szCs w:val="24"/>
        </w:rPr>
      </w:pPr>
    </w:p>
    <w:p w14:paraId="7A7E6D2B" w14:textId="77777777" w:rsidR="00B5152F" w:rsidRDefault="00B5152F" w:rsidP="001D33BF">
      <w:pPr>
        <w:pStyle w:val="MediumList2-Accent41"/>
        <w:spacing w:after="120"/>
        <w:ind w:left="0"/>
        <w:contextualSpacing w:val="0"/>
        <w:jc w:val="both"/>
        <w:rPr>
          <w:sz w:val="24"/>
          <w:szCs w:val="24"/>
        </w:rPr>
      </w:pPr>
    </w:p>
    <w:p w14:paraId="5F2EF34B" w14:textId="77777777" w:rsidR="00B5152F" w:rsidRDefault="00B5152F" w:rsidP="001D33BF">
      <w:pPr>
        <w:pStyle w:val="MediumList2-Accent41"/>
        <w:spacing w:after="120"/>
        <w:ind w:left="0"/>
        <w:contextualSpacing w:val="0"/>
        <w:jc w:val="both"/>
        <w:rPr>
          <w:sz w:val="24"/>
          <w:szCs w:val="24"/>
        </w:rPr>
      </w:pPr>
    </w:p>
    <w:p w14:paraId="27387B02" w14:textId="77777777" w:rsidR="00B5152F" w:rsidRDefault="00B5152F" w:rsidP="001D33BF">
      <w:pPr>
        <w:pStyle w:val="MediumList2-Accent41"/>
        <w:spacing w:after="120"/>
        <w:ind w:left="0"/>
        <w:contextualSpacing w:val="0"/>
        <w:jc w:val="both"/>
        <w:rPr>
          <w:sz w:val="24"/>
          <w:szCs w:val="24"/>
        </w:rPr>
      </w:pPr>
    </w:p>
    <w:p w14:paraId="3CD3D1BF" w14:textId="77777777" w:rsidR="00B5152F" w:rsidRDefault="00B5152F" w:rsidP="001D33BF">
      <w:pPr>
        <w:pStyle w:val="MediumList2-Accent41"/>
        <w:spacing w:after="120"/>
        <w:ind w:left="0"/>
        <w:contextualSpacing w:val="0"/>
        <w:jc w:val="both"/>
        <w:rPr>
          <w:sz w:val="24"/>
          <w:szCs w:val="24"/>
        </w:rPr>
      </w:pPr>
    </w:p>
    <w:p w14:paraId="252253F2" w14:textId="77777777" w:rsidR="00B5152F" w:rsidRDefault="00B5152F" w:rsidP="001D33BF">
      <w:pPr>
        <w:pStyle w:val="MediumList2-Accent41"/>
        <w:spacing w:after="120"/>
        <w:ind w:left="0"/>
        <w:contextualSpacing w:val="0"/>
        <w:jc w:val="both"/>
        <w:rPr>
          <w:sz w:val="24"/>
          <w:szCs w:val="24"/>
        </w:rPr>
      </w:pPr>
    </w:p>
    <w:p w14:paraId="30FB304D" w14:textId="77777777" w:rsidR="00B5152F" w:rsidRDefault="00B5152F" w:rsidP="001D33BF">
      <w:pPr>
        <w:pStyle w:val="MediumList2-Accent41"/>
        <w:spacing w:after="120"/>
        <w:ind w:left="0"/>
        <w:contextualSpacing w:val="0"/>
        <w:jc w:val="both"/>
        <w:rPr>
          <w:sz w:val="24"/>
          <w:szCs w:val="24"/>
        </w:rPr>
      </w:pPr>
    </w:p>
    <w:p w14:paraId="2F78B518" w14:textId="77777777" w:rsidR="00B5152F" w:rsidRDefault="00B5152F" w:rsidP="001D33BF">
      <w:pPr>
        <w:pStyle w:val="MediumList2-Accent41"/>
        <w:spacing w:after="120"/>
        <w:ind w:left="0"/>
        <w:contextualSpacing w:val="0"/>
        <w:jc w:val="both"/>
        <w:rPr>
          <w:sz w:val="24"/>
          <w:szCs w:val="24"/>
        </w:rPr>
      </w:pPr>
    </w:p>
    <w:p w14:paraId="44C81942" w14:textId="77777777" w:rsidR="00B5152F" w:rsidRDefault="00B5152F" w:rsidP="001D33BF">
      <w:pPr>
        <w:pStyle w:val="MediumList2-Accent41"/>
        <w:spacing w:after="120"/>
        <w:ind w:left="0"/>
        <w:contextualSpacing w:val="0"/>
        <w:jc w:val="both"/>
        <w:rPr>
          <w:sz w:val="24"/>
          <w:szCs w:val="24"/>
        </w:rPr>
      </w:pPr>
    </w:p>
    <w:p w14:paraId="4B7DD404" w14:textId="77777777" w:rsidR="00B5152F" w:rsidRDefault="00B5152F" w:rsidP="001D33BF">
      <w:pPr>
        <w:pStyle w:val="MediumList2-Accent41"/>
        <w:spacing w:after="120"/>
        <w:ind w:left="0"/>
        <w:contextualSpacing w:val="0"/>
        <w:jc w:val="both"/>
        <w:rPr>
          <w:sz w:val="24"/>
          <w:szCs w:val="24"/>
        </w:rPr>
      </w:pPr>
    </w:p>
    <w:p w14:paraId="353B6B88" w14:textId="77777777" w:rsidR="00B5152F" w:rsidRDefault="00B5152F" w:rsidP="001D33BF">
      <w:pPr>
        <w:pStyle w:val="MediumList2-Accent41"/>
        <w:spacing w:after="120"/>
        <w:ind w:left="0"/>
        <w:contextualSpacing w:val="0"/>
        <w:jc w:val="both"/>
        <w:rPr>
          <w:sz w:val="24"/>
          <w:szCs w:val="24"/>
        </w:rPr>
      </w:pPr>
    </w:p>
    <w:p w14:paraId="4398FE39" w14:textId="77777777" w:rsidR="00B5152F" w:rsidRDefault="00B5152F" w:rsidP="001D33BF">
      <w:pPr>
        <w:pStyle w:val="MediumList2-Accent41"/>
        <w:spacing w:after="120"/>
        <w:ind w:left="0"/>
        <w:contextualSpacing w:val="0"/>
        <w:jc w:val="both"/>
        <w:rPr>
          <w:sz w:val="24"/>
          <w:szCs w:val="24"/>
        </w:rPr>
      </w:pPr>
    </w:p>
    <w:p w14:paraId="5F5DA4ED" w14:textId="77777777" w:rsidR="00B5152F" w:rsidRDefault="00B5152F" w:rsidP="001D33BF">
      <w:pPr>
        <w:pStyle w:val="MediumList2-Accent41"/>
        <w:spacing w:after="120"/>
        <w:ind w:left="0"/>
        <w:contextualSpacing w:val="0"/>
        <w:jc w:val="both"/>
        <w:rPr>
          <w:sz w:val="24"/>
          <w:szCs w:val="24"/>
        </w:rPr>
      </w:pPr>
    </w:p>
    <w:p w14:paraId="268CF83C" w14:textId="77777777" w:rsidR="00B5152F" w:rsidRDefault="00B5152F" w:rsidP="001D33BF">
      <w:pPr>
        <w:pStyle w:val="MediumList2-Accent41"/>
        <w:spacing w:after="120"/>
        <w:ind w:left="0"/>
        <w:contextualSpacing w:val="0"/>
        <w:jc w:val="both"/>
        <w:rPr>
          <w:sz w:val="24"/>
          <w:szCs w:val="24"/>
        </w:rPr>
      </w:pPr>
    </w:p>
    <w:p w14:paraId="68872D08" w14:textId="16234C96" w:rsidR="00485B4A" w:rsidRDefault="00485B4A" w:rsidP="001D33BF">
      <w:pPr>
        <w:pStyle w:val="MediumList2-Accent41"/>
        <w:spacing w:after="120"/>
        <w:ind w:left="0"/>
        <w:contextualSpacing w:val="0"/>
        <w:jc w:val="both"/>
        <w:rPr>
          <w:b/>
          <w:sz w:val="24"/>
          <w:szCs w:val="24"/>
          <w:u w:val="single"/>
        </w:rPr>
      </w:pPr>
      <w:r>
        <w:rPr>
          <w:b/>
          <w:sz w:val="24"/>
          <w:szCs w:val="24"/>
          <w:u w:val="single"/>
        </w:rPr>
        <w:br w:type="page"/>
      </w:r>
    </w:p>
    <w:p w14:paraId="508E6B44" w14:textId="167C9156" w:rsidR="005030E0" w:rsidRPr="00E43AD2" w:rsidRDefault="0004282E" w:rsidP="001D33BF">
      <w:pPr>
        <w:pStyle w:val="MediumList2-Accent41"/>
        <w:spacing w:after="120"/>
        <w:ind w:left="0"/>
        <w:contextualSpacing w:val="0"/>
        <w:jc w:val="both"/>
        <w:rPr>
          <w:b/>
          <w:sz w:val="24"/>
          <w:szCs w:val="24"/>
          <w:u w:val="single"/>
          <w:lang w:val="fr-FR"/>
        </w:rPr>
      </w:pPr>
      <w:r w:rsidRPr="00E43AD2">
        <w:rPr>
          <w:b/>
          <w:sz w:val="24"/>
          <w:szCs w:val="24"/>
          <w:u w:val="single"/>
          <w:lang w:val="fr-FR"/>
        </w:rPr>
        <w:lastRenderedPageBreak/>
        <w:t xml:space="preserve">Table </w:t>
      </w:r>
      <w:r w:rsidR="008E61E2">
        <w:rPr>
          <w:b/>
          <w:sz w:val="24"/>
          <w:szCs w:val="24"/>
          <w:u w:val="single"/>
          <w:lang w:val="fr-FR"/>
        </w:rPr>
        <w:t>de matière</w:t>
      </w:r>
      <w:r w:rsidR="008A0594">
        <w:rPr>
          <w:b/>
          <w:sz w:val="24"/>
          <w:szCs w:val="24"/>
          <w:u w:val="single"/>
          <w:lang w:val="fr-FR"/>
        </w:rPr>
        <w:t>s</w:t>
      </w:r>
      <w:r w:rsidRPr="00E43AD2">
        <w:rPr>
          <w:b/>
          <w:sz w:val="24"/>
          <w:szCs w:val="24"/>
          <w:u w:val="single"/>
          <w:lang w:val="fr-FR"/>
        </w:rPr>
        <w:t xml:space="preserve">: </w:t>
      </w:r>
    </w:p>
    <w:p w14:paraId="7D352C80" w14:textId="77777777" w:rsidR="008914ED" w:rsidRPr="00E43AD2" w:rsidRDefault="008914ED" w:rsidP="001D33BF">
      <w:pPr>
        <w:pStyle w:val="MediumList2-Accent41"/>
        <w:spacing w:after="120"/>
        <w:ind w:left="0"/>
        <w:contextualSpacing w:val="0"/>
        <w:jc w:val="both"/>
        <w:rPr>
          <w:b/>
          <w:sz w:val="24"/>
          <w:szCs w:val="24"/>
          <w:u w:val="single"/>
          <w:lang w:val="fr-FR"/>
        </w:rPr>
      </w:pPr>
    </w:p>
    <w:p w14:paraId="3EEBCE4E" w14:textId="697F6B88" w:rsidR="0004282E" w:rsidRPr="00E43AD2" w:rsidRDefault="00780578" w:rsidP="008974B7">
      <w:pPr>
        <w:pStyle w:val="MediumList2-Accent41"/>
        <w:numPr>
          <w:ilvl w:val="0"/>
          <w:numId w:val="38"/>
        </w:numPr>
        <w:spacing w:after="120" w:line="360" w:lineRule="auto"/>
        <w:contextualSpacing w:val="0"/>
        <w:jc w:val="both"/>
        <w:rPr>
          <w:sz w:val="24"/>
          <w:szCs w:val="24"/>
          <w:lang w:val="fr-FR"/>
        </w:rPr>
      </w:pPr>
      <w:r w:rsidRPr="00E43AD2">
        <w:rPr>
          <w:sz w:val="24"/>
          <w:szCs w:val="24"/>
          <w:lang w:val="fr-FR"/>
        </w:rPr>
        <w:t xml:space="preserve">Champ </w:t>
      </w:r>
      <w:r w:rsidR="00EC6D36" w:rsidRPr="00E43AD2">
        <w:rPr>
          <w:sz w:val="24"/>
          <w:szCs w:val="24"/>
          <w:lang w:val="fr-FR"/>
        </w:rPr>
        <w:t>d’application</w:t>
      </w:r>
    </w:p>
    <w:p w14:paraId="2E5B5644" w14:textId="62D83B3A" w:rsidR="0004282E" w:rsidRPr="00E43AD2" w:rsidRDefault="00E43AD2" w:rsidP="008974B7">
      <w:pPr>
        <w:pStyle w:val="MediumList2-Accent41"/>
        <w:numPr>
          <w:ilvl w:val="0"/>
          <w:numId w:val="38"/>
        </w:numPr>
        <w:spacing w:after="120" w:line="360" w:lineRule="auto"/>
        <w:contextualSpacing w:val="0"/>
        <w:jc w:val="both"/>
        <w:rPr>
          <w:sz w:val="24"/>
          <w:szCs w:val="24"/>
          <w:lang w:val="fr-FR"/>
        </w:rPr>
      </w:pPr>
      <w:r w:rsidRPr="00E43AD2">
        <w:rPr>
          <w:sz w:val="24"/>
          <w:szCs w:val="24"/>
          <w:lang w:val="fr-FR"/>
        </w:rPr>
        <w:t>Définitions</w:t>
      </w:r>
    </w:p>
    <w:p w14:paraId="484618A9" w14:textId="77777777" w:rsidR="00E43AD2" w:rsidRPr="008E61E2" w:rsidRDefault="00E43AD2" w:rsidP="008974B7">
      <w:pPr>
        <w:pStyle w:val="MediumList2-Accent41"/>
        <w:numPr>
          <w:ilvl w:val="0"/>
          <w:numId w:val="38"/>
        </w:numPr>
        <w:spacing w:after="120" w:line="360" w:lineRule="auto"/>
        <w:contextualSpacing w:val="0"/>
        <w:jc w:val="both"/>
        <w:rPr>
          <w:sz w:val="24"/>
          <w:szCs w:val="24"/>
          <w:lang w:val="fr-FR"/>
        </w:rPr>
      </w:pPr>
      <w:r w:rsidRPr="008E61E2">
        <w:rPr>
          <w:sz w:val="24"/>
          <w:szCs w:val="24"/>
          <w:lang w:val="fr-FR"/>
        </w:rPr>
        <w:t xml:space="preserve">Principaux objectifs et principes </w:t>
      </w:r>
    </w:p>
    <w:p w14:paraId="7A647833" w14:textId="6AFC187C" w:rsidR="008D3967" w:rsidRPr="008E61E2" w:rsidRDefault="008D3967" w:rsidP="008974B7">
      <w:pPr>
        <w:pStyle w:val="MediumList2-Accent41"/>
        <w:numPr>
          <w:ilvl w:val="0"/>
          <w:numId w:val="38"/>
        </w:numPr>
        <w:spacing w:after="120" w:line="360" w:lineRule="auto"/>
        <w:contextualSpacing w:val="0"/>
        <w:jc w:val="both"/>
        <w:rPr>
          <w:sz w:val="24"/>
          <w:szCs w:val="24"/>
          <w:lang w:val="fr-FR"/>
        </w:rPr>
      </w:pPr>
      <w:r w:rsidRPr="008E61E2">
        <w:rPr>
          <w:sz w:val="24"/>
          <w:szCs w:val="24"/>
          <w:lang w:val="fr-FR"/>
        </w:rPr>
        <w:t>R</w:t>
      </w:r>
      <w:r w:rsidR="00E43AD2" w:rsidRPr="008E61E2">
        <w:rPr>
          <w:sz w:val="24"/>
          <w:szCs w:val="24"/>
          <w:lang w:val="fr-FR"/>
        </w:rPr>
        <w:t>apportage des allégations</w:t>
      </w:r>
    </w:p>
    <w:p w14:paraId="0EB505A4" w14:textId="77777777" w:rsidR="00E43AD2" w:rsidRPr="008E61E2" w:rsidRDefault="00E43AD2" w:rsidP="008974B7">
      <w:pPr>
        <w:pStyle w:val="MediumList2-Accent41"/>
        <w:numPr>
          <w:ilvl w:val="0"/>
          <w:numId w:val="38"/>
        </w:numPr>
        <w:spacing w:after="120" w:line="360" w:lineRule="auto"/>
        <w:contextualSpacing w:val="0"/>
        <w:jc w:val="both"/>
        <w:rPr>
          <w:sz w:val="24"/>
          <w:szCs w:val="24"/>
          <w:lang w:val="fr-FR"/>
        </w:rPr>
      </w:pPr>
      <w:r w:rsidRPr="008E61E2">
        <w:rPr>
          <w:sz w:val="24"/>
          <w:szCs w:val="24"/>
          <w:lang w:val="fr-FR"/>
        </w:rPr>
        <w:t xml:space="preserve">Partage d’informations sur le processus de réponse </w:t>
      </w:r>
    </w:p>
    <w:p w14:paraId="6FCC1F27" w14:textId="58393C89" w:rsidR="00E43AD2" w:rsidRPr="008E61E2" w:rsidRDefault="00E43AD2" w:rsidP="00E43AD2">
      <w:pPr>
        <w:numPr>
          <w:ilvl w:val="0"/>
          <w:numId w:val="38"/>
        </w:numPr>
        <w:spacing w:after="200"/>
        <w:contextualSpacing/>
        <w:rPr>
          <w:sz w:val="24"/>
          <w:szCs w:val="24"/>
          <w:lang w:val="fr-FR"/>
        </w:rPr>
      </w:pPr>
      <w:r w:rsidRPr="008E61E2">
        <w:rPr>
          <w:sz w:val="24"/>
          <w:szCs w:val="24"/>
          <w:lang w:val="fr-FR"/>
        </w:rPr>
        <w:t>Résultats d’investigations concernant les cas rapportés</w:t>
      </w:r>
    </w:p>
    <w:p w14:paraId="52A6786B" w14:textId="06355C49" w:rsidR="008914ED" w:rsidRPr="008E61E2" w:rsidRDefault="00E43AD2" w:rsidP="008974B7">
      <w:pPr>
        <w:pStyle w:val="MediumList2-Accent41"/>
        <w:numPr>
          <w:ilvl w:val="0"/>
          <w:numId w:val="38"/>
        </w:numPr>
        <w:spacing w:after="120" w:line="360" w:lineRule="auto"/>
        <w:contextualSpacing w:val="0"/>
        <w:jc w:val="both"/>
        <w:rPr>
          <w:sz w:val="24"/>
          <w:szCs w:val="24"/>
          <w:lang w:val="fr-FR"/>
        </w:rPr>
      </w:pPr>
      <w:r w:rsidRPr="008E61E2">
        <w:rPr>
          <w:sz w:val="24"/>
          <w:szCs w:val="24"/>
          <w:lang w:val="fr-FR"/>
        </w:rPr>
        <w:t>Responsabilités</w:t>
      </w:r>
    </w:p>
    <w:p w14:paraId="02B5FE74" w14:textId="5B2EB971" w:rsidR="005030E0" w:rsidRPr="008E61E2" w:rsidRDefault="008974B7" w:rsidP="008974B7">
      <w:pPr>
        <w:pStyle w:val="MediumList2-Accent41"/>
        <w:numPr>
          <w:ilvl w:val="0"/>
          <w:numId w:val="38"/>
        </w:numPr>
        <w:spacing w:after="120" w:line="360" w:lineRule="auto"/>
        <w:contextualSpacing w:val="0"/>
        <w:jc w:val="both"/>
        <w:rPr>
          <w:sz w:val="24"/>
          <w:szCs w:val="24"/>
          <w:lang w:val="fr-FR"/>
        </w:rPr>
      </w:pPr>
      <w:r w:rsidRPr="008E61E2">
        <w:rPr>
          <w:sz w:val="24"/>
          <w:szCs w:val="24"/>
          <w:lang w:val="fr-FR"/>
        </w:rPr>
        <w:t>Expiration</w:t>
      </w:r>
      <w:r w:rsidR="00E43AD2" w:rsidRPr="008E61E2">
        <w:rPr>
          <w:sz w:val="24"/>
          <w:szCs w:val="24"/>
          <w:lang w:val="fr-FR"/>
        </w:rPr>
        <w:t xml:space="preserve"> du protocole</w:t>
      </w:r>
    </w:p>
    <w:p w14:paraId="1AEF5E17" w14:textId="77777777" w:rsidR="005030E0" w:rsidRDefault="005030E0" w:rsidP="008974B7">
      <w:pPr>
        <w:pStyle w:val="MediumList2-Accent41"/>
        <w:spacing w:after="120" w:line="360" w:lineRule="auto"/>
        <w:ind w:left="0"/>
        <w:contextualSpacing w:val="0"/>
        <w:jc w:val="both"/>
        <w:rPr>
          <w:b/>
          <w:sz w:val="24"/>
          <w:szCs w:val="24"/>
          <w:u w:val="single"/>
        </w:rPr>
      </w:pPr>
    </w:p>
    <w:p w14:paraId="3E82C78E" w14:textId="77777777" w:rsidR="008914ED" w:rsidRDefault="008914ED" w:rsidP="001D33BF">
      <w:pPr>
        <w:pStyle w:val="MediumList2-Accent41"/>
        <w:spacing w:after="120"/>
        <w:ind w:left="0"/>
        <w:contextualSpacing w:val="0"/>
        <w:jc w:val="both"/>
        <w:rPr>
          <w:b/>
          <w:sz w:val="24"/>
          <w:szCs w:val="24"/>
          <w:u w:val="single"/>
        </w:rPr>
      </w:pPr>
    </w:p>
    <w:p w14:paraId="3A2E59FE" w14:textId="77777777" w:rsidR="008914ED" w:rsidRDefault="008914ED" w:rsidP="001D33BF">
      <w:pPr>
        <w:pStyle w:val="MediumList2-Accent41"/>
        <w:spacing w:after="120"/>
        <w:ind w:left="0"/>
        <w:contextualSpacing w:val="0"/>
        <w:jc w:val="both"/>
        <w:rPr>
          <w:b/>
          <w:sz w:val="24"/>
          <w:szCs w:val="24"/>
          <w:u w:val="single"/>
        </w:rPr>
      </w:pPr>
    </w:p>
    <w:p w14:paraId="4AED20C1" w14:textId="77777777" w:rsidR="00315F95" w:rsidRDefault="00315F95" w:rsidP="001D33BF">
      <w:pPr>
        <w:pStyle w:val="MediumList2-Accent41"/>
        <w:spacing w:after="120"/>
        <w:ind w:left="0"/>
        <w:contextualSpacing w:val="0"/>
        <w:jc w:val="both"/>
        <w:rPr>
          <w:b/>
          <w:sz w:val="24"/>
          <w:szCs w:val="24"/>
          <w:u w:val="single"/>
        </w:rPr>
      </w:pPr>
    </w:p>
    <w:p w14:paraId="060E5852" w14:textId="77777777" w:rsidR="00315F95" w:rsidRDefault="00315F95" w:rsidP="001D33BF">
      <w:pPr>
        <w:pStyle w:val="MediumList2-Accent41"/>
        <w:spacing w:after="120"/>
        <w:ind w:left="0"/>
        <w:contextualSpacing w:val="0"/>
        <w:jc w:val="both"/>
        <w:rPr>
          <w:b/>
          <w:sz w:val="24"/>
          <w:szCs w:val="24"/>
          <w:u w:val="single"/>
        </w:rPr>
      </w:pPr>
    </w:p>
    <w:p w14:paraId="6F5EEAD9" w14:textId="77777777" w:rsidR="00315F95" w:rsidRDefault="00315F95" w:rsidP="001D33BF">
      <w:pPr>
        <w:pStyle w:val="MediumList2-Accent41"/>
        <w:spacing w:after="120"/>
        <w:ind w:left="0"/>
        <w:contextualSpacing w:val="0"/>
        <w:jc w:val="both"/>
        <w:rPr>
          <w:b/>
          <w:sz w:val="24"/>
          <w:szCs w:val="24"/>
          <w:u w:val="single"/>
        </w:rPr>
      </w:pPr>
    </w:p>
    <w:p w14:paraId="2764755A" w14:textId="77777777" w:rsidR="00315F95" w:rsidRDefault="00315F95" w:rsidP="001D33BF">
      <w:pPr>
        <w:pStyle w:val="MediumList2-Accent41"/>
        <w:spacing w:after="120"/>
        <w:ind w:left="0"/>
        <w:contextualSpacing w:val="0"/>
        <w:jc w:val="both"/>
        <w:rPr>
          <w:b/>
          <w:sz w:val="24"/>
          <w:szCs w:val="24"/>
          <w:u w:val="single"/>
        </w:rPr>
      </w:pPr>
    </w:p>
    <w:p w14:paraId="1F3F4316" w14:textId="77777777" w:rsidR="008914ED" w:rsidRDefault="008914ED" w:rsidP="001D33BF">
      <w:pPr>
        <w:pStyle w:val="MediumList2-Accent41"/>
        <w:spacing w:after="120"/>
        <w:ind w:left="0"/>
        <w:contextualSpacing w:val="0"/>
        <w:jc w:val="both"/>
        <w:rPr>
          <w:b/>
          <w:sz w:val="24"/>
          <w:szCs w:val="24"/>
          <w:u w:val="single"/>
        </w:rPr>
      </w:pPr>
    </w:p>
    <w:p w14:paraId="58FD665A" w14:textId="77777777" w:rsidR="008914ED" w:rsidRDefault="008914ED" w:rsidP="001D33BF">
      <w:pPr>
        <w:pStyle w:val="MediumList2-Accent41"/>
        <w:spacing w:after="120"/>
        <w:ind w:left="0"/>
        <w:contextualSpacing w:val="0"/>
        <w:jc w:val="both"/>
        <w:rPr>
          <w:b/>
          <w:sz w:val="24"/>
          <w:szCs w:val="24"/>
          <w:u w:val="single"/>
        </w:rPr>
      </w:pPr>
    </w:p>
    <w:p w14:paraId="0C4C6FDA" w14:textId="77777777" w:rsidR="008914ED" w:rsidRDefault="008914ED" w:rsidP="001D33BF">
      <w:pPr>
        <w:pStyle w:val="MediumList2-Accent41"/>
        <w:spacing w:after="120"/>
        <w:ind w:left="0"/>
        <w:contextualSpacing w:val="0"/>
        <w:jc w:val="both"/>
        <w:rPr>
          <w:b/>
          <w:sz w:val="24"/>
          <w:szCs w:val="24"/>
          <w:u w:val="single"/>
        </w:rPr>
      </w:pPr>
    </w:p>
    <w:p w14:paraId="6B6BB9E9" w14:textId="77777777" w:rsidR="008914ED" w:rsidRDefault="008914ED" w:rsidP="001D33BF">
      <w:pPr>
        <w:pStyle w:val="MediumList2-Accent41"/>
        <w:spacing w:after="120"/>
        <w:ind w:left="0"/>
        <w:contextualSpacing w:val="0"/>
        <w:jc w:val="both"/>
        <w:rPr>
          <w:b/>
          <w:sz w:val="24"/>
          <w:szCs w:val="24"/>
          <w:u w:val="single"/>
        </w:rPr>
      </w:pPr>
    </w:p>
    <w:p w14:paraId="1EC816EF" w14:textId="77777777" w:rsidR="008914ED" w:rsidRDefault="008914ED" w:rsidP="001D33BF">
      <w:pPr>
        <w:pStyle w:val="MediumList2-Accent41"/>
        <w:spacing w:after="120"/>
        <w:ind w:left="0"/>
        <w:contextualSpacing w:val="0"/>
        <w:jc w:val="both"/>
        <w:rPr>
          <w:b/>
          <w:sz w:val="24"/>
          <w:szCs w:val="24"/>
          <w:u w:val="single"/>
        </w:rPr>
      </w:pPr>
    </w:p>
    <w:p w14:paraId="7D2488E4" w14:textId="77777777" w:rsidR="008914ED" w:rsidRDefault="008914ED" w:rsidP="001D33BF">
      <w:pPr>
        <w:pStyle w:val="MediumList2-Accent41"/>
        <w:spacing w:after="120"/>
        <w:ind w:left="0"/>
        <w:contextualSpacing w:val="0"/>
        <w:jc w:val="both"/>
        <w:rPr>
          <w:b/>
          <w:sz w:val="24"/>
          <w:szCs w:val="24"/>
          <w:u w:val="single"/>
        </w:rPr>
      </w:pPr>
    </w:p>
    <w:p w14:paraId="7DA48A43" w14:textId="77777777" w:rsidR="008914ED" w:rsidRDefault="008914ED" w:rsidP="001D33BF">
      <w:pPr>
        <w:pStyle w:val="MediumList2-Accent41"/>
        <w:spacing w:after="120"/>
        <w:ind w:left="0"/>
        <w:contextualSpacing w:val="0"/>
        <w:jc w:val="both"/>
        <w:rPr>
          <w:b/>
          <w:sz w:val="24"/>
          <w:szCs w:val="24"/>
          <w:u w:val="single"/>
        </w:rPr>
      </w:pPr>
    </w:p>
    <w:p w14:paraId="5A5CDF52" w14:textId="77777777" w:rsidR="005030E0" w:rsidRDefault="005030E0" w:rsidP="001D33BF">
      <w:pPr>
        <w:pStyle w:val="MediumList2-Accent41"/>
        <w:spacing w:after="120"/>
        <w:ind w:left="0"/>
        <w:contextualSpacing w:val="0"/>
        <w:jc w:val="both"/>
        <w:rPr>
          <w:b/>
          <w:sz w:val="24"/>
          <w:szCs w:val="24"/>
          <w:u w:val="single"/>
        </w:rPr>
      </w:pPr>
    </w:p>
    <w:p w14:paraId="7B987F37" w14:textId="77777777" w:rsidR="008B5850" w:rsidRDefault="008B5850" w:rsidP="008B5850">
      <w:pPr>
        <w:pBdr>
          <w:top w:val="single" w:sz="4" w:space="1" w:color="auto"/>
          <w:left w:val="single" w:sz="4" w:space="4" w:color="auto"/>
          <w:bottom w:val="single" w:sz="4" w:space="1" w:color="auto"/>
          <w:right w:val="single" w:sz="4" w:space="0" w:color="auto"/>
        </w:pBdr>
        <w:spacing w:afterLines="80" w:after="192"/>
        <w:ind w:left="900" w:right="1016"/>
        <w:jc w:val="center"/>
        <w:rPr>
          <w:b/>
          <w:sz w:val="24"/>
          <w:szCs w:val="24"/>
          <w:lang w:val="fr-FR"/>
        </w:rPr>
      </w:pPr>
      <w:r>
        <w:rPr>
          <w:b/>
          <w:sz w:val="24"/>
          <w:szCs w:val="24"/>
          <w:lang w:val="fr-FR"/>
        </w:rPr>
        <w:br w:type="page"/>
      </w:r>
    </w:p>
    <w:p w14:paraId="57E956F4" w14:textId="7E681FCA" w:rsidR="008B5850" w:rsidRPr="00DF47E1" w:rsidRDefault="008B5850" w:rsidP="008B5850">
      <w:pPr>
        <w:pBdr>
          <w:top w:val="single" w:sz="4" w:space="1" w:color="auto"/>
          <w:left w:val="single" w:sz="4" w:space="4" w:color="auto"/>
          <w:bottom w:val="single" w:sz="4" w:space="1" w:color="auto"/>
          <w:right w:val="single" w:sz="4" w:space="0" w:color="auto"/>
        </w:pBdr>
        <w:tabs>
          <w:tab w:val="left" w:pos="8505"/>
        </w:tabs>
        <w:spacing w:afterLines="80" w:after="192"/>
        <w:ind w:left="142" w:right="-46"/>
        <w:jc w:val="center"/>
        <w:rPr>
          <w:b/>
          <w:sz w:val="24"/>
          <w:szCs w:val="24"/>
          <w:lang w:val="fr-FR"/>
        </w:rPr>
      </w:pPr>
      <w:r w:rsidRPr="00DF47E1">
        <w:rPr>
          <w:b/>
          <w:sz w:val="24"/>
          <w:szCs w:val="24"/>
          <w:lang w:val="fr-FR"/>
        </w:rPr>
        <w:lastRenderedPageBreak/>
        <w:t>Protocole de partage d’informations et de rapportage d’allégations d’exploitation et d’abus sexuels (EAS) entre la MINUSCA, les Agences, Fonds et Programmes des Nations Unies, les ONG internationales et les partenaires locaux</w:t>
      </w:r>
      <w:r w:rsidRPr="00DF47E1">
        <w:rPr>
          <w:rStyle w:val="FootnoteReference"/>
          <w:b/>
          <w:sz w:val="24"/>
          <w:szCs w:val="24"/>
          <w:lang w:val="fr-FR"/>
        </w:rPr>
        <w:footnoteReference w:id="1"/>
      </w:r>
    </w:p>
    <w:p w14:paraId="178A4C2D" w14:textId="77777777" w:rsidR="005030E0" w:rsidRPr="00973EC3" w:rsidRDefault="005030E0" w:rsidP="001236C4">
      <w:pPr>
        <w:pStyle w:val="MediumList2-Accent41"/>
        <w:spacing w:after="120"/>
        <w:ind w:left="0"/>
        <w:contextualSpacing w:val="0"/>
        <w:jc w:val="both"/>
        <w:rPr>
          <w:b/>
          <w:sz w:val="24"/>
          <w:szCs w:val="24"/>
          <w:u w:val="single"/>
        </w:rPr>
      </w:pPr>
    </w:p>
    <w:p w14:paraId="32E9C26F" w14:textId="6F6D961A" w:rsidR="000613B4" w:rsidRPr="00DF47E1" w:rsidRDefault="00C957F3" w:rsidP="000613B4">
      <w:pPr>
        <w:pStyle w:val="LightGrid-Accent31"/>
        <w:numPr>
          <w:ilvl w:val="0"/>
          <w:numId w:val="44"/>
        </w:numPr>
        <w:spacing w:after="120"/>
        <w:jc w:val="both"/>
        <w:rPr>
          <w:b/>
          <w:sz w:val="24"/>
          <w:szCs w:val="24"/>
          <w:u w:val="single"/>
          <w:lang w:val="fr-FR"/>
        </w:rPr>
      </w:pPr>
      <w:r w:rsidRPr="00DF47E1">
        <w:rPr>
          <w:b/>
          <w:sz w:val="24"/>
          <w:szCs w:val="24"/>
          <w:u w:val="single"/>
          <w:lang w:val="fr-FR"/>
        </w:rPr>
        <w:t>Champ d’application</w:t>
      </w:r>
    </w:p>
    <w:p w14:paraId="0C557464" w14:textId="77777777" w:rsidR="00C957F3" w:rsidRPr="00DF47E1" w:rsidRDefault="00C957F3" w:rsidP="001236C4">
      <w:pPr>
        <w:pStyle w:val="LightGrid-Accent31"/>
        <w:spacing w:after="120"/>
        <w:ind w:left="0"/>
        <w:jc w:val="both"/>
        <w:rPr>
          <w:sz w:val="24"/>
          <w:szCs w:val="24"/>
          <w:lang w:val="fr-FR"/>
        </w:rPr>
      </w:pPr>
      <w:r w:rsidRPr="00DF47E1">
        <w:rPr>
          <w:sz w:val="24"/>
          <w:szCs w:val="24"/>
          <w:lang w:val="fr-FR"/>
        </w:rPr>
        <w:t>L’objectif de ce document est de clarifier le processus:</w:t>
      </w:r>
    </w:p>
    <w:p w14:paraId="455EC4BE" w14:textId="77777777" w:rsidR="00C957F3" w:rsidRPr="00DF47E1" w:rsidRDefault="00C957F3" w:rsidP="001236C4">
      <w:pPr>
        <w:pStyle w:val="LightGrid-Accent31"/>
        <w:numPr>
          <w:ilvl w:val="0"/>
          <w:numId w:val="40"/>
        </w:numPr>
        <w:spacing w:after="120"/>
        <w:jc w:val="both"/>
        <w:rPr>
          <w:sz w:val="24"/>
          <w:szCs w:val="24"/>
          <w:lang w:val="fr-FR"/>
        </w:rPr>
      </w:pPr>
      <w:r w:rsidRPr="00DF47E1">
        <w:rPr>
          <w:sz w:val="24"/>
          <w:szCs w:val="24"/>
          <w:lang w:val="fr-FR"/>
        </w:rPr>
        <w:t>de rapportage des allégations d’exploitation et d‘abus sexuels (EAS)</w:t>
      </w:r>
      <w:r w:rsidRPr="00DF47E1">
        <w:rPr>
          <w:rStyle w:val="FootnoteReference"/>
          <w:sz w:val="24"/>
          <w:szCs w:val="24"/>
          <w:lang w:val="fr-FR"/>
        </w:rPr>
        <w:footnoteReference w:id="2"/>
      </w:r>
      <w:r w:rsidRPr="00DF47E1">
        <w:rPr>
          <w:sz w:val="24"/>
          <w:szCs w:val="24"/>
          <w:lang w:val="fr-FR"/>
        </w:rPr>
        <w:t xml:space="preserve"> contre le personnel des Nations Unies (UN), le personnel associé aux UN, les contractants</w:t>
      </w:r>
      <w:r w:rsidRPr="00DF47E1">
        <w:rPr>
          <w:rStyle w:val="FootnoteReference"/>
          <w:sz w:val="24"/>
          <w:szCs w:val="24"/>
          <w:lang w:val="fr-FR"/>
        </w:rPr>
        <w:footnoteReference w:id="3"/>
      </w:r>
      <w:r w:rsidRPr="00DF47E1">
        <w:rPr>
          <w:sz w:val="24"/>
          <w:szCs w:val="24"/>
          <w:lang w:val="fr-FR"/>
        </w:rPr>
        <w:t>, contre les forces militaires étrangères opérant sous autorisation du Conseil de Sécurité hors commandement des UN (Force internationales de sécurité non UN), contre le personnel des ONG internationales et des partenaires nationaux en République Centrafricaine</w:t>
      </w:r>
    </w:p>
    <w:p w14:paraId="5FAE9180" w14:textId="77777777" w:rsidR="00C957F3" w:rsidRPr="00DF47E1" w:rsidRDefault="00C957F3" w:rsidP="001236C4">
      <w:pPr>
        <w:pStyle w:val="LightGrid-Accent31"/>
        <w:numPr>
          <w:ilvl w:val="0"/>
          <w:numId w:val="40"/>
        </w:numPr>
        <w:spacing w:after="120"/>
        <w:jc w:val="both"/>
        <w:rPr>
          <w:sz w:val="24"/>
          <w:szCs w:val="24"/>
          <w:lang w:val="fr-FR"/>
        </w:rPr>
      </w:pPr>
      <w:r w:rsidRPr="00DF47E1">
        <w:rPr>
          <w:sz w:val="24"/>
          <w:szCs w:val="24"/>
          <w:lang w:val="fr-FR"/>
        </w:rPr>
        <w:t xml:space="preserve">de partage des informations essentielles à travers le processus de rapportage et de réponse. </w:t>
      </w:r>
    </w:p>
    <w:p w14:paraId="6A5F55DE" w14:textId="39F9D68A" w:rsidR="00C957F3" w:rsidRPr="00DF47E1" w:rsidRDefault="00C957F3" w:rsidP="001236C4">
      <w:pPr>
        <w:pStyle w:val="LightGrid-Accent31"/>
        <w:spacing w:after="120"/>
        <w:ind w:left="0"/>
        <w:jc w:val="both"/>
        <w:rPr>
          <w:sz w:val="24"/>
          <w:szCs w:val="24"/>
          <w:lang w:val="fr-FR"/>
        </w:rPr>
      </w:pPr>
      <w:r w:rsidRPr="00DF47E1">
        <w:rPr>
          <w:sz w:val="24"/>
          <w:szCs w:val="24"/>
          <w:lang w:val="fr-FR"/>
        </w:rPr>
        <w:t>Le but est d’améliorer la collaboration et d’assurer la collecte</w:t>
      </w:r>
      <w:r w:rsidR="00505FAA">
        <w:rPr>
          <w:sz w:val="24"/>
          <w:szCs w:val="24"/>
          <w:lang w:val="fr-FR"/>
        </w:rPr>
        <w:t xml:space="preserve"> sécurisée et éthique</w:t>
      </w:r>
      <w:r w:rsidRPr="00DF47E1">
        <w:rPr>
          <w:sz w:val="24"/>
          <w:szCs w:val="24"/>
          <w:lang w:val="fr-FR"/>
        </w:rPr>
        <w:t xml:space="preserve">, la référence  et le traitement responsables des allégations d’EAS. </w:t>
      </w:r>
    </w:p>
    <w:p w14:paraId="256ACA86" w14:textId="237F4AAD" w:rsidR="00C957F3" w:rsidRPr="00DF47E1" w:rsidRDefault="00C957F3" w:rsidP="001236C4">
      <w:pPr>
        <w:pStyle w:val="LightGrid-Accent31"/>
        <w:spacing w:after="120"/>
        <w:ind w:left="0"/>
        <w:jc w:val="both"/>
        <w:rPr>
          <w:sz w:val="24"/>
          <w:szCs w:val="24"/>
          <w:lang w:val="fr-FR"/>
        </w:rPr>
      </w:pPr>
      <w:r w:rsidRPr="00DF47E1">
        <w:rPr>
          <w:sz w:val="24"/>
          <w:szCs w:val="24"/>
          <w:lang w:val="fr-FR"/>
        </w:rPr>
        <w:t xml:space="preserve">Ce protocole s’applique lorsque l’une des entités signataires reçoit une allégation d’EAS à l’encontre d’un membre ou d’un ancien membre du personnel, travaillant ou ayant travaillé pour une autre entité signataire de ce protocole, rémunéré ou non. </w:t>
      </w:r>
    </w:p>
    <w:p w14:paraId="43C559C3" w14:textId="65608133" w:rsidR="00C957F3" w:rsidRPr="00DF47E1" w:rsidRDefault="00C957F3" w:rsidP="001236C4">
      <w:pPr>
        <w:pStyle w:val="LightGrid-Accent31"/>
        <w:spacing w:after="120"/>
        <w:ind w:left="0"/>
        <w:jc w:val="both"/>
        <w:rPr>
          <w:sz w:val="24"/>
          <w:szCs w:val="24"/>
          <w:lang w:val="fr-FR"/>
        </w:rPr>
      </w:pPr>
      <w:r w:rsidRPr="00DF47E1">
        <w:rPr>
          <w:sz w:val="24"/>
          <w:szCs w:val="24"/>
          <w:lang w:val="fr-FR"/>
        </w:rPr>
        <w:t>L’objectif est de travailler dans le cadre des processus existants de coordination et de partage d’information. Cela inclut les mécanismes suivants de coordination sur les EAS: la Task Force Stratégique  sur les EAS, la Task Force humanitaire EAS</w:t>
      </w:r>
      <w:r w:rsidRPr="00DF47E1" w:rsidDel="00C42149">
        <w:rPr>
          <w:sz w:val="24"/>
          <w:szCs w:val="24"/>
          <w:lang w:val="fr-FR"/>
        </w:rPr>
        <w:t xml:space="preserve"> </w:t>
      </w:r>
      <w:r w:rsidRPr="00DF47E1">
        <w:rPr>
          <w:sz w:val="24"/>
          <w:szCs w:val="24"/>
          <w:lang w:val="fr-FR"/>
        </w:rPr>
        <w:t xml:space="preserve">ainsi que le système de </w:t>
      </w:r>
      <w:r w:rsidRPr="00DF47E1">
        <w:rPr>
          <w:sz w:val="24"/>
          <w:szCs w:val="24"/>
          <w:lang w:val="fr-FR"/>
        </w:rPr>
        <w:lastRenderedPageBreak/>
        <w:t xml:space="preserve">gestion d’information sur les violences basées sur le genre (GBVIMS), le mécanisme de suivi et de signalement des atteintes graves faites aux enfants (MRM) et les dispositions concernant le suivi, l’analyse et le signalement des violences sexuelles liées au conflit (MARA). </w:t>
      </w:r>
    </w:p>
    <w:p w14:paraId="05115B9F" w14:textId="2FDE9F6C" w:rsidR="00C957F3" w:rsidRPr="00BD4DD4" w:rsidRDefault="00C957F3" w:rsidP="000613B4">
      <w:pPr>
        <w:pStyle w:val="LightGrid-Accent31"/>
        <w:numPr>
          <w:ilvl w:val="0"/>
          <w:numId w:val="44"/>
        </w:numPr>
        <w:spacing w:before="360" w:after="120"/>
        <w:ind w:left="714" w:hanging="357"/>
        <w:jc w:val="both"/>
        <w:rPr>
          <w:b/>
          <w:sz w:val="24"/>
          <w:szCs w:val="24"/>
          <w:u w:val="single"/>
          <w:lang w:val="fr-FR"/>
        </w:rPr>
      </w:pPr>
      <w:r w:rsidRPr="00BD4DD4">
        <w:rPr>
          <w:b/>
          <w:sz w:val="24"/>
          <w:szCs w:val="24"/>
          <w:u w:val="single"/>
          <w:lang w:val="fr-FR"/>
        </w:rPr>
        <w:t>Définitions</w:t>
      </w:r>
    </w:p>
    <w:p w14:paraId="35D98358" w14:textId="42398488" w:rsidR="00C957F3" w:rsidRPr="00B43FD9" w:rsidRDefault="00C957F3" w:rsidP="00B45DB5">
      <w:pPr>
        <w:pStyle w:val="LightGrid-Accent31"/>
        <w:spacing w:after="120"/>
        <w:ind w:left="0"/>
        <w:jc w:val="both"/>
        <w:rPr>
          <w:sz w:val="24"/>
          <w:szCs w:val="24"/>
          <w:lang w:val="fr-FR"/>
        </w:rPr>
      </w:pPr>
      <w:r w:rsidRPr="00DF47E1">
        <w:rPr>
          <w:b/>
          <w:bCs/>
          <w:sz w:val="24"/>
          <w:szCs w:val="24"/>
          <w:lang w:val="fr-FR"/>
        </w:rPr>
        <w:t xml:space="preserve">Exploitation et abus sexuels (EAS): </w:t>
      </w:r>
      <w:r w:rsidRPr="00B43FD9">
        <w:rPr>
          <w:sz w:val="24"/>
          <w:szCs w:val="24"/>
          <w:lang w:val="fr-FR"/>
        </w:rPr>
        <w:t xml:space="preserve">L’exploitation sexuelle est le fait d’abuser ou de tenter d’abuser d’un état de vulnérabilité, d’un rapport de force inégal ou de rapports de confiance à des fins sexuelles, y compris, mais non exclusivement, en vue d’en tirer un avantage pécuniaire, social ou politique. </w:t>
      </w:r>
      <w:r w:rsidRPr="00B43FD9">
        <w:rPr>
          <w:bCs/>
          <w:sz w:val="24"/>
          <w:szCs w:val="24"/>
          <w:lang w:val="fr-FR"/>
        </w:rPr>
        <w:t xml:space="preserve">L’abus sexuel fait référence à  </w:t>
      </w:r>
      <w:r w:rsidRPr="00B43FD9">
        <w:rPr>
          <w:sz w:val="24"/>
          <w:szCs w:val="24"/>
          <w:lang w:val="fr-FR"/>
        </w:rPr>
        <w:t>toute atteinte sexuelle commise par la force ou la contrainte ou à la faveur d’un rapport inégal, la menace d’une telle atteinte constituant aussi un abus sexuel</w:t>
      </w:r>
      <w:r w:rsidRPr="00B43FD9">
        <w:rPr>
          <w:rStyle w:val="FootnoteReference"/>
          <w:sz w:val="24"/>
          <w:szCs w:val="24"/>
          <w:lang w:val="fr-FR"/>
        </w:rPr>
        <w:footnoteReference w:id="4"/>
      </w:r>
      <w:r w:rsidRPr="00B43FD9">
        <w:rPr>
          <w:sz w:val="24"/>
          <w:szCs w:val="24"/>
          <w:lang w:val="fr-FR"/>
        </w:rPr>
        <w:t>.</w:t>
      </w:r>
    </w:p>
    <w:p w14:paraId="6C1CAF5E" w14:textId="139EF2AF" w:rsidR="00C957F3" w:rsidRPr="00DF47E1" w:rsidRDefault="00C957F3" w:rsidP="0043343E">
      <w:pPr>
        <w:pStyle w:val="LightGrid-Accent31"/>
        <w:spacing w:after="240"/>
        <w:ind w:left="0"/>
        <w:jc w:val="both"/>
        <w:rPr>
          <w:sz w:val="24"/>
          <w:szCs w:val="24"/>
          <w:lang w:val="fr-FR"/>
        </w:rPr>
      </w:pPr>
      <w:r w:rsidRPr="00DF47E1">
        <w:rPr>
          <w:b/>
          <w:sz w:val="24"/>
          <w:szCs w:val="24"/>
          <w:lang w:val="fr-FR"/>
        </w:rPr>
        <w:t>Mécanisme de plainte </w:t>
      </w:r>
      <w:r w:rsidRPr="00DF47E1">
        <w:rPr>
          <w:sz w:val="24"/>
          <w:szCs w:val="24"/>
          <w:lang w:val="fr-FR"/>
        </w:rPr>
        <w:t xml:space="preserve">: </w:t>
      </w:r>
      <w:r w:rsidRPr="00DF47E1">
        <w:rPr>
          <w:rFonts w:eastAsia="Times New Roman"/>
          <w:sz w:val="24"/>
          <w:szCs w:val="24"/>
          <w:lang w:val="fr-FR"/>
        </w:rPr>
        <w:t>Canal qui donne aux utilisateurs l'accès à des moyens sûrs de formuler des commentaires ou des plaintes sur des domaines pertinents</w:t>
      </w:r>
      <w:r w:rsidRPr="00DF47E1">
        <w:rPr>
          <w:rStyle w:val="FootnoteReference"/>
          <w:rFonts w:eastAsia="Times New Roman"/>
          <w:sz w:val="24"/>
          <w:szCs w:val="24"/>
          <w:lang w:val="fr-FR"/>
        </w:rPr>
        <w:footnoteReference w:id="5"/>
      </w:r>
      <w:r w:rsidRPr="00DF47E1">
        <w:rPr>
          <w:rFonts w:eastAsia="Times New Roman"/>
          <w:sz w:val="24"/>
          <w:szCs w:val="24"/>
          <w:lang w:val="fr-FR"/>
        </w:rPr>
        <w:t xml:space="preserve"> pour et sous le contrôle de l'organe responsable.</w:t>
      </w:r>
    </w:p>
    <w:p w14:paraId="1889437B" w14:textId="4E07CF24" w:rsidR="00C957F3" w:rsidRPr="00DF47E1" w:rsidRDefault="00C957F3" w:rsidP="0043343E">
      <w:pPr>
        <w:pStyle w:val="LightGrid-Accent31"/>
        <w:spacing w:after="240"/>
        <w:ind w:left="0"/>
        <w:jc w:val="both"/>
        <w:rPr>
          <w:sz w:val="24"/>
          <w:szCs w:val="24"/>
          <w:lang w:val="fr-FR"/>
        </w:rPr>
      </w:pPr>
      <w:r w:rsidRPr="00DF47E1">
        <w:rPr>
          <w:rFonts w:eastAsia="Times New Roman"/>
          <w:b/>
          <w:sz w:val="24"/>
          <w:szCs w:val="24"/>
          <w:lang w:val="fr-FR"/>
        </w:rPr>
        <w:t>Entité déclarante:</w:t>
      </w:r>
      <w:r w:rsidRPr="00DF47E1">
        <w:rPr>
          <w:rFonts w:eastAsia="Times New Roman"/>
          <w:sz w:val="24"/>
          <w:szCs w:val="24"/>
          <w:lang w:val="fr-FR"/>
        </w:rPr>
        <w:t xml:space="preserve"> Entité signataire de ce protocole qui reçoit et rapporte des informations sur une allégation d'EAS impliquant une autre entité signataire de ce protocole</w:t>
      </w:r>
      <w:r w:rsidR="00B43FD9">
        <w:rPr>
          <w:rFonts w:eastAsia="Times New Roman"/>
          <w:sz w:val="24"/>
          <w:szCs w:val="24"/>
          <w:lang w:val="fr-FR"/>
        </w:rPr>
        <w:t>.</w:t>
      </w:r>
    </w:p>
    <w:p w14:paraId="2E7C6B1B" w14:textId="11017AEE" w:rsidR="00C957F3" w:rsidRPr="00DF47E1" w:rsidRDefault="00C957F3" w:rsidP="0043343E">
      <w:pPr>
        <w:pStyle w:val="LightGrid-Accent31"/>
        <w:spacing w:after="240"/>
        <w:ind w:left="0"/>
        <w:jc w:val="both"/>
        <w:rPr>
          <w:sz w:val="24"/>
          <w:szCs w:val="24"/>
          <w:lang w:val="fr-FR"/>
        </w:rPr>
      </w:pPr>
      <w:r w:rsidRPr="00DF47E1">
        <w:rPr>
          <w:rFonts w:eastAsia="Times New Roman"/>
          <w:b/>
          <w:sz w:val="24"/>
          <w:szCs w:val="24"/>
          <w:lang w:val="fr-FR"/>
        </w:rPr>
        <w:t>Entité concernée</w:t>
      </w:r>
      <w:r w:rsidRPr="00DF47E1">
        <w:rPr>
          <w:rFonts w:eastAsia="Times New Roman"/>
          <w:sz w:val="24"/>
          <w:szCs w:val="24"/>
          <w:lang w:val="fr-FR"/>
        </w:rPr>
        <w:t xml:space="preserve">: Entité signataire du présent protocole pour laquelle le membre du personnel ou l'ancien membre du personnel ou la personne concernée par l'allégation de EAS travaille ou a travaillé, rémunéré ou non, de manière temporaire ou permanente. </w:t>
      </w:r>
    </w:p>
    <w:p w14:paraId="7625C59E" w14:textId="31992D08" w:rsidR="00C957F3" w:rsidRPr="00DF47E1" w:rsidRDefault="00C957F3" w:rsidP="000613B4">
      <w:pPr>
        <w:pStyle w:val="LightGrid-Accent31"/>
        <w:numPr>
          <w:ilvl w:val="0"/>
          <w:numId w:val="44"/>
        </w:numPr>
        <w:spacing w:before="360" w:after="120"/>
        <w:ind w:left="714" w:hanging="357"/>
        <w:jc w:val="both"/>
        <w:rPr>
          <w:b/>
          <w:sz w:val="24"/>
          <w:szCs w:val="24"/>
          <w:u w:val="single"/>
          <w:lang w:val="fr-FR"/>
        </w:rPr>
      </w:pPr>
      <w:r w:rsidRPr="00DF47E1">
        <w:rPr>
          <w:b/>
          <w:sz w:val="24"/>
          <w:szCs w:val="24"/>
          <w:u w:val="single"/>
          <w:lang w:val="fr-FR"/>
        </w:rPr>
        <w:t xml:space="preserve">Principaux objectifs et principes </w:t>
      </w:r>
    </w:p>
    <w:p w14:paraId="221B444C" w14:textId="77777777" w:rsidR="00C957F3" w:rsidRPr="00DF47E1" w:rsidRDefault="00C957F3" w:rsidP="001236C4">
      <w:pPr>
        <w:pStyle w:val="LightGrid-Accent31"/>
        <w:spacing w:after="120"/>
        <w:ind w:left="0"/>
        <w:jc w:val="both"/>
        <w:rPr>
          <w:sz w:val="24"/>
          <w:szCs w:val="24"/>
          <w:lang w:val="fr-FR"/>
        </w:rPr>
      </w:pPr>
      <w:r w:rsidRPr="00DF47E1">
        <w:rPr>
          <w:sz w:val="24"/>
          <w:szCs w:val="24"/>
          <w:lang w:val="fr-FR"/>
        </w:rPr>
        <w:t>Une compréhension commune des procédures de rapportage, de partage d’information et de coopération entre l’ensemble des entités UN et non UN impliquées dans la réponse aux EAS est essentielle. Les principaux objectifs et principes suivants doivent être respectés lors de la réponse apportée aux allégations d’EAS:</w:t>
      </w:r>
    </w:p>
    <w:p w14:paraId="4439798E" w14:textId="40D0A0D0" w:rsidR="00505FAA" w:rsidRPr="00505FAA" w:rsidRDefault="00505FAA" w:rsidP="00505FAA">
      <w:pPr>
        <w:numPr>
          <w:ilvl w:val="0"/>
          <w:numId w:val="41"/>
        </w:numPr>
        <w:spacing w:after="120"/>
        <w:jc w:val="both"/>
        <w:rPr>
          <w:sz w:val="24"/>
          <w:szCs w:val="24"/>
          <w:lang w:val="fr-FR"/>
        </w:rPr>
      </w:pPr>
      <w:r w:rsidRPr="006F21D4">
        <w:rPr>
          <w:sz w:val="24"/>
          <w:szCs w:val="24"/>
          <w:lang w:val="fr-FR"/>
        </w:rPr>
        <w:t>L'EAS est une forme de violence basée sur le genre (VBG) et représente un abus de pouvoir perpétré principalement contre les femmes et les filles, en raison de l'inégalité entre les sexes, et peut également affecter les hommes et les garçons. Les droits, les souhaits et les besoins des victimes</w:t>
      </w:r>
      <w:r w:rsidRPr="006F21D4">
        <w:rPr>
          <w:sz w:val="24"/>
          <w:szCs w:val="24"/>
        </w:rPr>
        <w:footnoteReference w:id="6"/>
      </w:r>
      <w:r w:rsidRPr="006F21D4">
        <w:rPr>
          <w:sz w:val="24"/>
          <w:szCs w:val="24"/>
          <w:lang w:val="fr-FR"/>
        </w:rPr>
        <w:t xml:space="preserve"> devraient être priorisés et respectés dans toutes les actions  prises pour traiter l'EAS (également appelées «approche centrée sur la survivante»).</w:t>
      </w:r>
    </w:p>
    <w:p w14:paraId="2E40B55A" w14:textId="769295CE" w:rsidR="00C957F3" w:rsidRPr="00D96171" w:rsidRDefault="00C957F3" w:rsidP="00D96171">
      <w:pPr>
        <w:numPr>
          <w:ilvl w:val="0"/>
          <w:numId w:val="41"/>
        </w:numPr>
        <w:spacing w:after="120"/>
        <w:jc w:val="both"/>
        <w:rPr>
          <w:sz w:val="24"/>
          <w:szCs w:val="24"/>
          <w:lang w:val="fr-FR"/>
        </w:rPr>
      </w:pPr>
      <w:r w:rsidRPr="00DF47E1">
        <w:rPr>
          <w:sz w:val="24"/>
          <w:szCs w:val="24"/>
          <w:lang w:val="fr-FR"/>
        </w:rPr>
        <w:lastRenderedPageBreak/>
        <w:t xml:space="preserve">Une réponse efficace aux allégations d’EAS commises par des membres ou anciens membre du personnel et du personnel associé des UN, contractants fournissant des services aux UN, par les forces militaires étrangères opérant sous l’autorisation du Conseil de Sécurité (hors commandement des UN), par le personnel des ONG internationales et les partenaires nationaux, en </w:t>
      </w:r>
      <w:r w:rsidRPr="00DF47E1">
        <w:rPr>
          <w:noProof/>
          <w:sz w:val="24"/>
          <w:szCs w:val="24"/>
          <w:lang w:val="fr-FR"/>
        </w:rPr>
        <w:t>République</w:t>
      </w:r>
      <w:r w:rsidRPr="00DF47E1">
        <w:rPr>
          <w:sz w:val="24"/>
          <w:szCs w:val="24"/>
          <w:lang w:val="fr-FR"/>
        </w:rPr>
        <w:t xml:space="preserve"> Centrafricaine, requiert l’engagement et la collaboration de tous les acteurs UN et non UN</w:t>
      </w:r>
      <w:r w:rsidR="009F28DB">
        <w:rPr>
          <w:sz w:val="24"/>
          <w:szCs w:val="24"/>
          <w:lang w:val="fr-FR"/>
        </w:rPr>
        <w:t xml:space="preserve">, à travers </w:t>
      </w:r>
      <w:r w:rsidR="009F28DB" w:rsidRPr="009F28DB">
        <w:rPr>
          <w:sz w:val="24"/>
          <w:szCs w:val="24"/>
          <w:lang w:val="fr-FR"/>
        </w:rPr>
        <w:t>une approche qui reconnaît le rôle central de la victime tout au long du processus</w:t>
      </w:r>
      <w:r w:rsidRPr="00DF47E1">
        <w:rPr>
          <w:sz w:val="24"/>
          <w:szCs w:val="24"/>
          <w:lang w:val="fr-FR"/>
        </w:rPr>
        <w:t xml:space="preserve">. </w:t>
      </w:r>
    </w:p>
    <w:p w14:paraId="7A0EA0AB" w14:textId="0660FD8B" w:rsidR="00C957F3" w:rsidRPr="00A70C1C" w:rsidRDefault="00C957F3" w:rsidP="001236C4">
      <w:pPr>
        <w:numPr>
          <w:ilvl w:val="0"/>
          <w:numId w:val="41"/>
        </w:numPr>
        <w:spacing w:after="120"/>
        <w:jc w:val="both"/>
        <w:rPr>
          <w:sz w:val="24"/>
          <w:szCs w:val="24"/>
          <w:lang w:val="fr-FR"/>
        </w:rPr>
      </w:pPr>
      <w:r w:rsidRPr="00DF47E1">
        <w:rPr>
          <w:sz w:val="24"/>
          <w:szCs w:val="24"/>
          <w:lang w:val="fr-FR"/>
        </w:rPr>
        <w:t xml:space="preserve">Les auteurs présumés d’actes d’EAS doivent faire l’objet d’une investigation et, lorsque reconnus coupables, poursuivis, dans le respect des </w:t>
      </w:r>
      <w:r w:rsidR="00307C14">
        <w:rPr>
          <w:sz w:val="24"/>
          <w:szCs w:val="24"/>
          <w:lang w:val="fr-FR"/>
        </w:rPr>
        <w:t xml:space="preserve">règles et </w:t>
      </w:r>
      <w:r w:rsidRPr="00DF47E1">
        <w:rPr>
          <w:sz w:val="24"/>
          <w:szCs w:val="24"/>
          <w:lang w:val="fr-FR"/>
        </w:rPr>
        <w:t xml:space="preserve">procédures requises et de la confidentialité. </w:t>
      </w:r>
    </w:p>
    <w:p w14:paraId="33EA9401" w14:textId="14749A49" w:rsidR="00C957F3" w:rsidRPr="00A70C1C" w:rsidRDefault="00C957F3" w:rsidP="001236C4">
      <w:pPr>
        <w:numPr>
          <w:ilvl w:val="0"/>
          <w:numId w:val="41"/>
        </w:numPr>
        <w:spacing w:after="120"/>
        <w:jc w:val="both"/>
        <w:rPr>
          <w:sz w:val="24"/>
          <w:szCs w:val="24"/>
          <w:lang w:val="fr-FR"/>
        </w:rPr>
      </w:pPr>
      <w:r w:rsidRPr="00DF47E1">
        <w:rPr>
          <w:sz w:val="24"/>
          <w:szCs w:val="24"/>
          <w:lang w:val="fr-FR"/>
        </w:rPr>
        <w:t>Le droit à la confidentialité est tout autant garanti à la victime, sa famille et sa communauté, qu’à l’auteur présumé, sa famille et son environnement de travail, ainsi qu’aux témoins. Les informations confidentielles relatives à la victime et aux témoins doivent uniquement être partagées avec les entités impliquées dans l’investigation et le suivi des affaires individuelles, sous la condition que le consentement éclairé écrit ait été obtenu sur la base du form</w:t>
      </w:r>
      <w:r>
        <w:rPr>
          <w:sz w:val="24"/>
          <w:szCs w:val="24"/>
          <w:lang w:val="fr-FR"/>
        </w:rPr>
        <w:t>ulaire de consentement (Annexe III</w:t>
      </w:r>
      <w:r w:rsidRPr="00DF47E1">
        <w:rPr>
          <w:sz w:val="24"/>
          <w:szCs w:val="24"/>
          <w:lang w:val="fr-FR"/>
        </w:rPr>
        <w:t>). A cet effet, les noms des victimes (qui ne seront partagés qu’après qu’un consentement éclairé ait été donné), des témoins et auteurs présumés (si identifiés), ainsi que les autres informations permettant une identification relative aux allégations d’EAS et aux investigations, doivent être traités de manière strictement confidentielle. De plus, l’ensemble des éléments</w:t>
      </w:r>
      <w:r w:rsidR="0043343E" w:rsidRPr="0043343E">
        <w:rPr>
          <w:sz w:val="24"/>
          <w:szCs w:val="24"/>
          <w:lang w:val="fr-FR"/>
        </w:rPr>
        <w:t xml:space="preserve"> </w:t>
      </w:r>
      <w:r w:rsidR="0043343E" w:rsidRPr="00DF47E1">
        <w:rPr>
          <w:sz w:val="24"/>
          <w:szCs w:val="24"/>
          <w:lang w:val="fr-FR"/>
        </w:rPr>
        <w:t>relatifs aux cas d’EAS</w:t>
      </w:r>
      <w:r w:rsidRPr="00DF47E1">
        <w:rPr>
          <w:sz w:val="24"/>
          <w:szCs w:val="24"/>
          <w:lang w:val="fr-FR"/>
        </w:rPr>
        <w:t>,</w:t>
      </w:r>
      <w:r w:rsidR="0043343E">
        <w:rPr>
          <w:sz w:val="24"/>
          <w:szCs w:val="24"/>
          <w:lang w:val="fr-FR"/>
        </w:rPr>
        <w:t xml:space="preserve"> sous quelque forme que ce </w:t>
      </w:r>
      <w:r w:rsidR="00C35968">
        <w:rPr>
          <w:sz w:val="24"/>
          <w:szCs w:val="24"/>
          <w:lang w:val="fr-FR"/>
        </w:rPr>
        <w:t>soit</w:t>
      </w:r>
      <w:r w:rsidR="00C35968" w:rsidRPr="00DF47E1">
        <w:rPr>
          <w:sz w:val="24"/>
          <w:szCs w:val="24"/>
          <w:lang w:val="fr-FR"/>
        </w:rPr>
        <w:t>,</w:t>
      </w:r>
      <w:r w:rsidRPr="00DF47E1">
        <w:rPr>
          <w:sz w:val="24"/>
          <w:szCs w:val="24"/>
          <w:lang w:val="fr-FR"/>
        </w:rPr>
        <w:t xml:space="preserve"> doivent également être conservés dans un endroit sûr et confidentiel. </w:t>
      </w:r>
    </w:p>
    <w:p w14:paraId="3C7362BA" w14:textId="46DDC78E" w:rsidR="00C957F3" w:rsidRPr="000613B4" w:rsidRDefault="00C957F3" w:rsidP="000613B4">
      <w:pPr>
        <w:numPr>
          <w:ilvl w:val="0"/>
          <w:numId w:val="41"/>
        </w:numPr>
        <w:spacing w:after="120"/>
        <w:jc w:val="both"/>
        <w:rPr>
          <w:sz w:val="24"/>
          <w:szCs w:val="24"/>
          <w:lang w:val="fr-FR"/>
        </w:rPr>
      </w:pPr>
      <w:r w:rsidRPr="00DF47E1">
        <w:rPr>
          <w:sz w:val="24"/>
          <w:szCs w:val="24"/>
          <w:lang w:val="fr-FR"/>
        </w:rPr>
        <w:t xml:space="preserve">La protection et le soutien aux victimes doivent être assurés, y compris la protection de leur dignité, sureté et sécurité, ainsi que leurs droits à l’assistance et à l’accès à la justice et aux réparations. Tout ce qui précède doit être effectué dans le respect des principes de “ne pas nuire”, de l’intérêt supérieur des victimes ou témoins, de confidentialité et de respect du consentement éclairé. En cas de victime mineure, une approche centrée sur l’enfant sera suivie tout en gardant à l’esprit de l’intérêt supérieur de l’enfant et conformément aux principes fondamentaux énoncés dans la Convention relatives aux droits de l’enfant. </w:t>
      </w:r>
    </w:p>
    <w:p w14:paraId="45673650" w14:textId="47EC7CF2" w:rsidR="00C957F3" w:rsidRPr="000613B4" w:rsidRDefault="0085536A" w:rsidP="000613B4">
      <w:pPr>
        <w:pStyle w:val="ListParagraph"/>
        <w:numPr>
          <w:ilvl w:val="0"/>
          <w:numId w:val="44"/>
        </w:numPr>
        <w:spacing w:before="360" w:after="120"/>
        <w:rPr>
          <w:b/>
          <w:sz w:val="24"/>
          <w:szCs w:val="24"/>
          <w:u w:val="single"/>
          <w:lang w:val="fr-FR"/>
        </w:rPr>
      </w:pPr>
      <w:r w:rsidRPr="000613B4">
        <w:rPr>
          <w:b/>
          <w:sz w:val="24"/>
          <w:szCs w:val="24"/>
          <w:u w:val="single"/>
          <w:lang w:val="fr-FR"/>
        </w:rPr>
        <w:t>Le rapportage des allégations</w:t>
      </w:r>
    </w:p>
    <w:p w14:paraId="239B6DA3" w14:textId="77777777" w:rsidR="00C957F3" w:rsidRPr="00DF47E1" w:rsidRDefault="00C957F3" w:rsidP="001236C4">
      <w:pPr>
        <w:pStyle w:val="LightGrid-Accent31"/>
        <w:numPr>
          <w:ilvl w:val="0"/>
          <w:numId w:val="18"/>
        </w:numPr>
        <w:spacing w:after="120"/>
        <w:jc w:val="both"/>
        <w:rPr>
          <w:color w:val="000000"/>
          <w:sz w:val="24"/>
          <w:szCs w:val="24"/>
          <w:lang w:val="fr-FR"/>
        </w:rPr>
      </w:pPr>
      <w:r w:rsidRPr="00DF47E1">
        <w:rPr>
          <w:color w:val="000000"/>
          <w:sz w:val="24"/>
          <w:szCs w:val="24"/>
          <w:lang w:val="fr-FR"/>
        </w:rPr>
        <w:t xml:space="preserve">Le rapportage rapide des allégations d’EAS est crucial. Il doit se faire de façon responsable et avec le consentement éclairé  et écrit de la victime, à travers un formulaire d’alerte (Annexe </w:t>
      </w:r>
      <w:r>
        <w:rPr>
          <w:color w:val="000000"/>
          <w:sz w:val="24"/>
          <w:szCs w:val="24"/>
          <w:lang w:val="fr-FR"/>
        </w:rPr>
        <w:t>II</w:t>
      </w:r>
      <w:r w:rsidRPr="00DF47E1">
        <w:rPr>
          <w:color w:val="000000"/>
          <w:sz w:val="24"/>
          <w:szCs w:val="24"/>
          <w:lang w:val="fr-FR"/>
        </w:rPr>
        <w:t>) et un form</w:t>
      </w:r>
      <w:r>
        <w:rPr>
          <w:color w:val="000000"/>
          <w:sz w:val="24"/>
          <w:szCs w:val="24"/>
          <w:lang w:val="fr-FR"/>
        </w:rPr>
        <w:t>ulaire de consentement (Annexe III</w:t>
      </w:r>
      <w:r w:rsidRPr="00DF47E1">
        <w:rPr>
          <w:color w:val="000000"/>
          <w:sz w:val="24"/>
          <w:szCs w:val="24"/>
          <w:lang w:val="fr-FR"/>
        </w:rPr>
        <w:t>) qui communique les informations pertinentes:</w:t>
      </w:r>
    </w:p>
    <w:p w14:paraId="1CC9C023" w14:textId="77777777" w:rsidR="00C957F3" w:rsidRPr="00DF47E1" w:rsidRDefault="00C957F3" w:rsidP="001236C4">
      <w:pPr>
        <w:numPr>
          <w:ilvl w:val="2"/>
          <w:numId w:val="29"/>
        </w:numPr>
        <w:spacing w:after="120"/>
        <w:jc w:val="both"/>
        <w:rPr>
          <w:color w:val="000000"/>
          <w:sz w:val="24"/>
          <w:szCs w:val="24"/>
          <w:lang w:val="fr-FR"/>
        </w:rPr>
      </w:pPr>
      <w:r w:rsidRPr="00DF47E1">
        <w:rPr>
          <w:b/>
          <w:color w:val="000000"/>
          <w:sz w:val="24"/>
          <w:szCs w:val="24"/>
          <w:lang w:val="fr-FR"/>
        </w:rPr>
        <w:t xml:space="preserve">Qui </w:t>
      </w:r>
      <w:r w:rsidRPr="00DF47E1">
        <w:rPr>
          <w:color w:val="000000"/>
          <w:sz w:val="24"/>
          <w:szCs w:val="24"/>
          <w:lang w:val="fr-FR"/>
        </w:rPr>
        <w:t xml:space="preserve">est la victime présumée et son profil : mineure/adulte, femme/homme, personne déplacée interne/refugiée/communauté </w:t>
      </w:r>
      <w:r w:rsidRPr="00DF47E1">
        <w:rPr>
          <w:color w:val="000000"/>
          <w:sz w:val="24"/>
          <w:szCs w:val="24"/>
          <w:lang w:val="fr-FR"/>
        </w:rPr>
        <w:lastRenderedPageBreak/>
        <w:t>hôte (noms partag</w:t>
      </w:r>
      <w:r w:rsidRPr="00DF47E1">
        <w:rPr>
          <w:sz w:val="24"/>
          <w:szCs w:val="24"/>
          <w:lang w:val="fr-FR"/>
        </w:rPr>
        <w:t>é</w:t>
      </w:r>
      <w:r w:rsidRPr="00DF47E1">
        <w:rPr>
          <w:color w:val="000000"/>
          <w:sz w:val="24"/>
          <w:szCs w:val="24"/>
          <w:lang w:val="fr-FR"/>
        </w:rPr>
        <w:t>s après un consentement éclair</w:t>
      </w:r>
      <w:r w:rsidRPr="00DF47E1">
        <w:rPr>
          <w:sz w:val="24"/>
          <w:szCs w:val="24"/>
          <w:lang w:val="fr-FR"/>
        </w:rPr>
        <w:t>é</w:t>
      </w:r>
      <w:r w:rsidRPr="00DF47E1">
        <w:rPr>
          <w:color w:val="000000"/>
          <w:sz w:val="24"/>
          <w:szCs w:val="24"/>
          <w:lang w:val="fr-FR"/>
        </w:rPr>
        <w:t xml:space="preserve"> donn</w:t>
      </w:r>
      <w:r w:rsidRPr="00DF47E1">
        <w:rPr>
          <w:sz w:val="24"/>
          <w:szCs w:val="24"/>
          <w:lang w:val="fr-FR"/>
        </w:rPr>
        <w:t>é par</w:t>
      </w:r>
      <w:r w:rsidRPr="00DF47E1">
        <w:rPr>
          <w:color w:val="000000"/>
          <w:sz w:val="24"/>
          <w:szCs w:val="24"/>
          <w:lang w:val="fr-FR"/>
        </w:rPr>
        <w:t xml:space="preserve"> la victime présum</w:t>
      </w:r>
      <w:r w:rsidRPr="00DF47E1">
        <w:rPr>
          <w:sz w:val="24"/>
          <w:szCs w:val="24"/>
          <w:lang w:val="fr-FR"/>
        </w:rPr>
        <w:t>é</w:t>
      </w:r>
      <w:r w:rsidRPr="00DF47E1">
        <w:rPr>
          <w:color w:val="000000"/>
          <w:sz w:val="24"/>
          <w:szCs w:val="24"/>
          <w:lang w:val="fr-FR"/>
        </w:rPr>
        <w:t>e ou les personnes ayant la garde en cas de minorité)</w:t>
      </w:r>
    </w:p>
    <w:p w14:paraId="02DCC1DB" w14:textId="77777777" w:rsidR="00C957F3" w:rsidRPr="00DF47E1" w:rsidRDefault="00C957F3" w:rsidP="001236C4">
      <w:pPr>
        <w:numPr>
          <w:ilvl w:val="3"/>
          <w:numId w:val="29"/>
        </w:numPr>
        <w:spacing w:after="120"/>
        <w:jc w:val="both"/>
        <w:rPr>
          <w:color w:val="000000"/>
          <w:sz w:val="24"/>
          <w:szCs w:val="24"/>
          <w:lang w:val="fr-FR"/>
        </w:rPr>
      </w:pPr>
      <w:r w:rsidRPr="00DF47E1">
        <w:rPr>
          <w:color w:val="000000"/>
          <w:sz w:val="24"/>
          <w:szCs w:val="24"/>
          <w:lang w:val="fr-FR"/>
        </w:rPr>
        <w:t>Qui est l’auteur présum</w:t>
      </w:r>
      <w:r w:rsidRPr="00DF47E1">
        <w:rPr>
          <w:sz w:val="24"/>
          <w:szCs w:val="24"/>
          <w:lang w:val="fr-FR"/>
        </w:rPr>
        <w:t>é</w:t>
      </w:r>
      <w:r w:rsidRPr="00DF47E1">
        <w:rPr>
          <w:color w:val="000000"/>
          <w:sz w:val="24"/>
          <w:szCs w:val="24"/>
          <w:lang w:val="fr-FR"/>
        </w:rPr>
        <w:t xml:space="preserve"> et son profil (nom du contingent, fonctionnaire de l’ONU ou d’ONG) </w:t>
      </w:r>
    </w:p>
    <w:p w14:paraId="6A059871" w14:textId="77777777" w:rsidR="00C957F3" w:rsidRPr="00DF47E1" w:rsidRDefault="00C957F3" w:rsidP="001236C4">
      <w:pPr>
        <w:numPr>
          <w:ilvl w:val="3"/>
          <w:numId w:val="29"/>
        </w:numPr>
        <w:spacing w:after="120"/>
        <w:jc w:val="both"/>
        <w:rPr>
          <w:color w:val="000000"/>
          <w:sz w:val="24"/>
          <w:szCs w:val="24"/>
          <w:lang w:val="fr-FR"/>
        </w:rPr>
      </w:pPr>
      <w:r w:rsidRPr="00DF47E1">
        <w:rPr>
          <w:color w:val="000000"/>
          <w:sz w:val="24"/>
          <w:szCs w:val="24"/>
          <w:lang w:val="fr-FR"/>
        </w:rPr>
        <w:t>Qui/quelle organisation a rapporté l’allégation ?</w:t>
      </w:r>
    </w:p>
    <w:p w14:paraId="73B6157F" w14:textId="77777777" w:rsidR="00C957F3" w:rsidRPr="00DF47E1" w:rsidRDefault="00C957F3" w:rsidP="001236C4">
      <w:pPr>
        <w:numPr>
          <w:ilvl w:val="2"/>
          <w:numId w:val="29"/>
        </w:numPr>
        <w:spacing w:after="120"/>
        <w:jc w:val="both"/>
        <w:rPr>
          <w:color w:val="000000"/>
          <w:sz w:val="24"/>
          <w:szCs w:val="24"/>
          <w:lang w:val="fr-FR"/>
        </w:rPr>
      </w:pPr>
      <w:r w:rsidRPr="00DF47E1">
        <w:rPr>
          <w:b/>
          <w:color w:val="000000"/>
          <w:sz w:val="24"/>
          <w:szCs w:val="24"/>
          <w:lang w:val="fr-FR"/>
        </w:rPr>
        <w:t>Quelle</w:t>
      </w:r>
      <w:r w:rsidRPr="00DF47E1">
        <w:rPr>
          <w:color w:val="000000"/>
          <w:sz w:val="24"/>
          <w:szCs w:val="24"/>
          <w:lang w:val="fr-FR"/>
        </w:rPr>
        <w:t xml:space="preserve"> est la nature de l’incident ?</w:t>
      </w:r>
    </w:p>
    <w:p w14:paraId="2B638FF1" w14:textId="77777777" w:rsidR="00C957F3" w:rsidRPr="00DF47E1" w:rsidRDefault="00C957F3" w:rsidP="001236C4">
      <w:pPr>
        <w:numPr>
          <w:ilvl w:val="2"/>
          <w:numId w:val="29"/>
        </w:numPr>
        <w:spacing w:after="120"/>
        <w:jc w:val="both"/>
        <w:rPr>
          <w:color w:val="000000"/>
          <w:sz w:val="24"/>
          <w:szCs w:val="24"/>
          <w:lang w:val="fr-FR"/>
        </w:rPr>
      </w:pPr>
      <w:r w:rsidRPr="00DF47E1">
        <w:rPr>
          <w:b/>
          <w:color w:val="000000"/>
          <w:sz w:val="24"/>
          <w:szCs w:val="24"/>
          <w:lang w:val="fr-FR"/>
        </w:rPr>
        <w:t xml:space="preserve">Quand </w:t>
      </w:r>
      <w:r w:rsidRPr="00DF47E1">
        <w:rPr>
          <w:color w:val="000000"/>
          <w:sz w:val="24"/>
          <w:szCs w:val="24"/>
          <w:lang w:val="fr-FR"/>
        </w:rPr>
        <w:t>l’incident présum</w:t>
      </w:r>
      <w:r w:rsidRPr="00DF47E1">
        <w:rPr>
          <w:sz w:val="24"/>
          <w:szCs w:val="24"/>
          <w:lang w:val="fr-FR"/>
        </w:rPr>
        <w:t>é</w:t>
      </w:r>
      <w:r w:rsidRPr="00DF47E1">
        <w:rPr>
          <w:color w:val="000000"/>
          <w:sz w:val="24"/>
          <w:szCs w:val="24"/>
          <w:lang w:val="fr-FR"/>
        </w:rPr>
        <w:t xml:space="preserve"> s’est-il passé ?</w:t>
      </w:r>
    </w:p>
    <w:p w14:paraId="2595CC1F" w14:textId="77777777" w:rsidR="00C957F3" w:rsidRPr="00DF47E1" w:rsidRDefault="00C957F3" w:rsidP="001236C4">
      <w:pPr>
        <w:numPr>
          <w:ilvl w:val="2"/>
          <w:numId w:val="29"/>
        </w:numPr>
        <w:spacing w:after="120"/>
        <w:jc w:val="both"/>
        <w:rPr>
          <w:sz w:val="24"/>
          <w:szCs w:val="24"/>
          <w:lang w:val="fr-FR"/>
        </w:rPr>
      </w:pPr>
      <w:r w:rsidRPr="00DF47E1">
        <w:rPr>
          <w:b/>
          <w:sz w:val="24"/>
          <w:szCs w:val="24"/>
          <w:lang w:val="fr-FR"/>
        </w:rPr>
        <w:t xml:space="preserve">Où s’est passé </w:t>
      </w:r>
      <w:r w:rsidRPr="00DF47E1">
        <w:rPr>
          <w:sz w:val="24"/>
          <w:szCs w:val="24"/>
          <w:lang w:val="fr-FR"/>
        </w:rPr>
        <w:t>l’incident allégué?</w:t>
      </w:r>
    </w:p>
    <w:p w14:paraId="54124D90" w14:textId="67B57EBE" w:rsidR="00C957F3" w:rsidRPr="0043343E" w:rsidRDefault="00C957F3" w:rsidP="001236C4">
      <w:pPr>
        <w:numPr>
          <w:ilvl w:val="2"/>
          <w:numId w:val="29"/>
        </w:numPr>
        <w:spacing w:after="120"/>
        <w:jc w:val="both"/>
        <w:rPr>
          <w:sz w:val="24"/>
          <w:szCs w:val="24"/>
          <w:lang w:val="fr-FR"/>
        </w:rPr>
      </w:pPr>
      <w:r w:rsidRPr="00DF47E1">
        <w:rPr>
          <w:rFonts w:eastAsia="Times New Roman"/>
          <w:sz w:val="24"/>
          <w:szCs w:val="24"/>
          <w:lang w:val="fr-FR"/>
        </w:rPr>
        <w:t>La victime a-t-elle reçu des soins médicaux d'urgence, si nécessaire, et la victime souhaite-t-elle les recevoir? (Si elle n’a pas reçu, une référence immédiate pour les soins médicaux doit être fournie).</w:t>
      </w:r>
    </w:p>
    <w:p w14:paraId="5D365DB6" w14:textId="77777777" w:rsidR="00C957F3" w:rsidRPr="00DF47E1" w:rsidRDefault="00C957F3" w:rsidP="004C4F44">
      <w:pPr>
        <w:spacing w:after="240"/>
        <w:jc w:val="both"/>
        <w:rPr>
          <w:rFonts w:eastAsia="Times New Roman"/>
          <w:sz w:val="24"/>
          <w:szCs w:val="24"/>
          <w:lang w:val="fr-FR"/>
        </w:rPr>
      </w:pPr>
      <w:r w:rsidRPr="00DF47E1">
        <w:rPr>
          <w:rFonts w:eastAsia="Times New Roman"/>
          <w:sz w:val="24"/>
          <w:szCs w:val="24"/>
          <w:lang w:val="fr-FR"/>
        </w:rPr>
        <w:t>Lorsqu'une entité signataire de ce protocole reçoit des informations concernant une allégation d'EAS impliquant une autre entité signataire de ce protocole (pas la MINUSCA ou des éléments des forces internationales), la personne qui reçoit l'information contacte dans les 48 heures le point focal de son organisation. Cette transmission d'informations peut se faire de manière anonyme, si la personne qui reçoit l'information le préfère.</w:t>
      </w:r>
    </w:p>
    <w:p w14:paraId="09B5E523" w14:textId="77777777" w:rsidR="00C957F3" w:rsidRPr="00DF47E1" w:rsidRDefault="00C957F3" w:rsidP="004C4F44">
      <w:pPr>
        <w:numPr>
          <w:ilvl w:val="0"/>
          <w:numId w:val="42"/>
        </w:numPr>
        <w:spacing w:after="240"/>
        <w:jc w:val="both"/>
        <w:rPr>
          <w:rFonts w:eastAsia="Times New Roman"/>
          <w:sz w:val="24"/>
          <w:szCs w:val="24"/>
          <w:lang w:val="fr-FR"/>
        </w:rPr>
      </w:pPr>
      <w:r w:rsidRPr="00DF47E1">
        <w:rPr>
          <w:rFonts w:eastAsia="Times New Roman"/>
          <w:sz w:val="24"/>
          <w:szCs w:val="24"/>
          <w:lang w:val="fr-FR"/>
        </w:rPr>
        <w:t>Si l'entité déclarante dispose d'un point focal à l'endroit où le rapport a été rédigé, le point focal remplit les formulaires d'alerte et de consentement (annexes II et III).</w:t>
      </w:r>
    </w:p>
    <w:p w14:paraId="22243746" w14:textId="77777777" w:rsidR="00C957F3" w:rsidRPr="00DF47E1" w:rsidRDefault="00C957F3" w:rsidP="004C4F44">
      <w:pPr>
        <w:numPr>
          <w:ilvl w:val="0"/>
          <w:numId w:val="42"/>
        </w:numPr>
        <w:spacing w:after="240"/>
        <w:jc w:val="both"/>
        <w:rPr>
          <w:rFonts w:eastAsia="Times New Roman"/>
          <w:sz w:val="24"/>
          <w:szCs w:val="24"/>
          <w:lang w:val="fr-FR"/>
        </w:rPr>
      </w:pPr>
      <w:r w:rsidRPr="00DF47E1">
        <w:rPr>
          <w:rFonts w:eastAsia="Times New Roman"/>
          <w:sz w:val="24"/>
          <w:szCs w:val="24"/>
          <w:lang w:val="fr-FR"/>
        </w:rPr>
        <w:t>Si l'entité déclarante n'a pas de point focal présent sur le site, le point focal de l'entité déclarante contacte un point focal d'une autre entité signataire de ce protocole qui est présente sur le site et partage confidentiellement les informations avec lui. Le point focal présent dans l'emplacement complète alors les formulaires d'alerte et de consentement et cette entité devient l'entité déclarante aux fins du présent protocole.</w:t>
      </w:r>
    </w:p>
    <w:p w14:paraId="62693DD0" w14:textId="76EDC195" w:rsidR="00C957F3" w:rsidRPr="00DF47E1" w:rsidRDefault="00C957F3" w:rsidP="004C4F44">
      <w:pPr>
        <w:numPr>
          <w:ilvl w:val="0"/>
          <w:numId w:val="42"/>
        </w:numPr>
        <w:spacing w:after="240"/>
        <w:jc w:val="both"/>
        <w:rPr>
          <w:rFonts w:eastAsia="Times New Roman"/>
          <w:sz w:val="24"/>
          <w:szCs w:val="24"/>
          <w:lang w:val="fr-FR"/>
        </w:rPr>
      </w:pPr>
      <w:r w:rsidRPr="00DF47E1">
        <w:rPr>
          <w:rFonts w:eastAsia="Times New Roman"/>
          <w:sz w:val="24"/>
          <w:szCs w:val="24"/>
          <w:lang w:val="fr-FR"/>
        </w:rPr>
        <w:t>Si aucune organisation ne dispose d'un point focal dans la zone, un point focal de l'entité déclarante se rend sur place le plus rapidement possible, mais au plus tard dans un délai de deux semaines à compter de la réception de l'information par l'organisation et complète les formulaires d’alerte et de consentement.</w:t>
      </w:r>
    </w:p>
    <w:p w14:paraId="2822BC34" w14:textId="77777777" w:rsidR="00555F20" w:rsidRDefault="00C957F3" w:rsidP="004C4F44">
      <w:pPr>
        <w:spacing w:after="240"/>
        <w:jc w:val="both"/>
        <w:rPr>
          <w:rFonts w:eastAsia="Times New Roman"/>
          <w:sz w:val="24"/>
          <w:szCs w:val="24"/>
          <w:lang w:val="fr-FR"/>
        </w:rPr>
      </w:pPr>
      <w:r w:rsidRPr="00DF47E1">
        <w:rPr>
          <w:rFonts w:eastAsia="Times New Roman"/>
          <w:sz w:val="24"/>
          <w:szCs w:val="24"/>
          <w:lang w:val="fr-FR"/>
        </w:rPr>
        <w:t xml:space="preserve">Le point focal prépare des copies des formulaires remplis. Dans deux messages distincts, le point focal de l'entité déclarante transmet les scans / copies du formulaire d'alerte et du formulaire de consentement au point focal de l'entité concernée. Cette transmission doit être faite en utilisant les adresses e-mail des points focaux auxquelles personne d'autre n'a accès et en ne copiant que le coordinateur du groupe de travail humanitaire sur la PSEA. </w:t>
      </w:r>
    </w:p>
    <w:p w14:paraId="691CAD7C" w14:textId="579AE7AA" w:rsidR="00C957F3" w:rsidRPr="00372BFB" w:rsidRDefault="00C957F3" w:rsidP="00555F20">
      <w:pPr>
        <w:spacing w:after="240"/>
        <w:jc w:val="both"/>
        <w:rPr>
          <w:rFonts w:eastAsia="Times New Roman"/>
          <w:sz w:val="24"/>
          <w:szCs w:val="24"/>
          <w:lang w:val="fr-FR"/>
        </w:rPr>
      </w:pPr>
      <w:r w:rsidRPr="00DF47E1">
        <w:rPr>
          <w:rFonts w:eastAsia="Times New Roman"/>
          <w:sz w:val="24"/>
          <w:szCs w:val="24"/>
          <w:lang w:val="fr-FR"/>
        </w:rPr>
        <w:t xml:space="preserve">Personne d'autre ne doit être copié sur ces e-mails. Si l'allégation concerne le point focal de l'entité concernée, le point focal de l'entité déclarante transmet l'information uniquement </w:t>
      </w:r>
      <w:r w:rsidRPr="00DF47E1">
        <w:rPr>
          <w:rFonts w:eastAsia="Times New Roman"/>
          <w:sz w:val="24"/>
          <w:szCs w:val="24"/>
          <w:lang w:val="fr-FR"/>
        </w:rPr>
        <w:lastRenderedPageBreak/>
        <w:t>au</w:t>
      </w:r>
      <w:r w:rsidRPr="00DF47E1">
        <w:rPr>
          <w:rStyle w:val="gmail-"/>
          <w:rFonts w:eastAsia="Times New Roman"/>
          <w:sz w:val="24"/>
          <w:szCs w:val="24"/>
          <w:lang w:val="fr-FR"/>
        </w:rPr>
        <w:t>/à la coordonnateur/trice de la Task Force humanitaire sur les EAS</w:t>
      </w:r>
      <w:r w:rsidRPr="00DF47E1">
        <w:rPr>
          <w:rFonts w:eastAsia="Times New Roman"/>
          <w:sz w:val="24"/>
          <w:szCs w:val="24"/>
          <w:lang w:val="fr-FR"/>
        </w:rPr>
        <w:t>.</w:t>
      </w:r>
      <w:r w:rsidRPr="00DF47E1">
        <w:rPr>
          <w:rFonts w:eastAsia="Times New Roman"/>
          <w:sz w:val="24"/>
          <w:szCs w:val="24"/>
          <w:highlight w:val="yellow"/>
          <w:lang w:val="fr-FR"/>
        </w:rPr>
        <w:br/>
      </w:r>
      <w:r w:rsidRPr="00DF47E1">
        <w:rPr>
          <w:rFonts w:eastAsia="Times New Roman"/>
          <w:sz w:val="24"/>
          <w:szCs w:val="24"/>
          <w:lang w:val="fr-FR"/>
        </w:rPr>
        <w:t xml:space="preserve">Si l'allégation implique la MINUSCA ou des éléments des forces internationales, la personne qui reçoit l'information doit contacter dans les 48 heures l'Equipe de Conduite et Discipline (dans les cas impliquant la MINUSCA) ou la Section des Droits de l'Homme de la MINUSCA (dans les cas impliquant des forces internationales). </w:t>
      </w:r>
    </w:p>
    <w:p w14:paraId="00FF923A" w14:textId="77777777" w:rsidR="00F26FE2" w:rsidRDefault="00372BFB" w:rsidP="00F26FE2">
      <w:pPr>
        <w:spacing w:after="240"/>
        <w:jc w:val="both"/>
        <w:rPr>
          <w:rFonts w:eastAsia="Times New Roman"/>
          <w:sz w:val="24"/>
          <w:szCs w:val="24"/>
          <w:lang w:val="fr-FR"/>
        </w:rPr>
      </w:pPr>
      <w:r w:rsidRPr="00F26FE2">
        <w:rPr>
          <w:rFonts w:eastAsia="Times New Roman"/>
          <w:sz w:val="24"/>
          <w:szCs w:val="24"/>
          <w:lang w:val="fr-FR"/>
        </w:rPr>
        <w:t>Dans tous les cas susmentionnés, si la victime ne donne pas son consentement éclairé au partage des informations avec l'entité concernée, l'entité déclarante n'est pas autorisée à partager des informations sur l'incident avec l'entité concernée.</w:t>
      </w:r>
      <w:r w:rsidR="001968E6">
        <w:rPr>
          <w:rFonts w:eastAsia="Times New Roman"/>
          <w:sz w:val="24"/>
          <w:szCs w:val="24"/>
          <w:lang w:val="fr-FR"/>
        </w:rPr>
        <w:t xml:space="preserve"> </w:t>
      </w:r>
      <w:r w:rsidR="00644B2F">
        <w:rPr>
          <w:rFonts w:eastAsia="Times New Roman"/>
          <w:sz w:val="24"/>
          <w:szCs w:val="24"/>
          <w:lang w:val="fr-FR"/>
        </w:rPr>
        <w:t xml:space="preserve"> </w:t>
      </w:r>
      <w:r w:rsidR="00F26FE2" w:rsidRPr="000C7435">
        <w:rPr>
          <w:rFonts w:eastAsia="Times New Roman"/>
          <w:sz w:val="24"/>
          <w:szCs w:val="24"/>
          <w:lang w:val="fr-FR"/>
        </w:rPr>
        <w:t xml:space="preserve">Toutefois, </w:t>
      </w:r>
      <w:r w:rsidR="00F26FE2">
        <w:rPr>
          <w:rFonts w:eastAsia="Times New Roman"/>
          <w:sz w:val="24"/>
          <w:szCs w:val="24"/>
          <w:lang w:val="fr-FR"/>
        </w:rPr>
        <w:t xml:space="preserve">conformément aux directives du SG des Nations Unies, </w:t>
      </w:r>
      <w:r w:rsidR="00F26FE2" w:rsidRPr="000C7435">
        <w:rPr>
          <w:rFonts w:eastAsia="Times New Roman"/>
          <w:sz w:val="24"/>
          <w:szCs w:val="24"/>
          <w:lang w:val="fr-FR"/>
        </w:rPr>
        <w:t xml:space="preserve">le personnel </w:t>
      </w:r>
      <w:r w:rsidR="00F26FE2">
        <w:rPr>
          <w:rFonts w:eastAsia="Times New Roman"/>
          <w:sz w:val="24"/>
          <w:szCs w:val="24"/>
          <w:lang w:val="fr-FR"/>
        </w:rPr>
        <w:t xml:space="preserve">UN, le personnel associé et celui des ONG humanitaires </w:t>
      </w:r>
      <w:r w:rsidR="00F26FE2" w:rsidRPr="000C7435">
        <w:rPr>
          <w:rFonts w:eastAsia="Times New Roman"/>
          <w:sz w:val="24"/>
          <w:szCs w:val="24"/>
          <w:lang w:val="fr-FR"/>
        </w:rPr>
        <w:t xml:space="preserve">ont l'obligation </w:t>
      </w:r>
      <w:r w:rsidR="00F26FE2">
        <w:rPr>
          <w:rFonts w:eastAsia="Times New Roman"/>
          <w:sz w:val="24"/>
          <w:szCs w:val="24"/>
          <w:lang w:val="fr-FR"/>
        </w:rPr>
        <w:t>de signaler les allégations d'EA</w:t>
      </w:r>
      <w:r w:rsidR="00F26FE2" w:rsidRPr="000C7435">
        <w:rPr>
          <w:rFonts w:eastAsia="Times New Roman"/>
          <w:sz w:val="24"/>
          <w:szCs w:val="24"/>
          <w:lang w:val="fr-FR"/>
        </w:rPr>
        <w:t>S lorsqu'ils en prennent connaissance.</w:t>
      </w:r>
    </w:p>
    <w:p w14:paraId="7A108EDC" w14:textId="77777777" w:rsidR="00F26FE2" w:rsidRDefault="009661FA" w:rsidP="00F26FE2">
      <w:pPr>
        <w:jc w:val="both"/>
        <w:rPr>
          <w:rFonts w:eastAsia="Times New Roman"/>
          <w:sz w:val="24"/>
          <w:szCs w:val="24"/>
          <w:lang w:val="fr-FR"/>
        </w:rPr>
      </w:pPr>
      <w:r w:rsidRPr="003A68F4">
        <w:rPr>
          <w:rFonts w:eastAsia="Times New Roman"/>
          <w:sz w:val="24"/>
          <w:szCs w:val="24"/>
          <w:lang w:val="fr-FR"/>
        </w:rPr>
        <w:t>Cela n'affectera pas le droit du survivant d'accéder à toutes les autres formes de soutien au moment du signalement ou plus tard.</w:t>
      </w:r>
    </w:p>
    <w:p w14:paraId="41E7E81E" w14:textId="684574CC" w:rsidR="00372BFB" w:rsidRPr="00372BFB" w:rsidRDefault="00372BFB" w:rsidP="00555F20">
      <w:pPr>
        <w:spacing w:after="240"/>
        <w:jc w:val="both"/>
        <w:rPr>
          <w:rFonts w:eastAsia="Times New Roman"/>
          <w:sz w:val="24"/>
          <w:szCs w:val="24"/>
          <w:lang w:val="fr-FR"/>
        </w:rPr>
      </w:pPr>
      <w:r w:rsidRPr="00AF2B03">
        <w:rPr>
          <w:rFonts w:eastAsia="Times New Roman"/>
          <w:sz w:val="24"/>
          <w:szCs w:val="24"/>
          <w:lang w:val="fr-FR"/>
        </w:rPr>
        <w:br/>
        <w:t>Des copies papier de tous les formulaires et copies doivent être conservées dans des</w:t>
      </w:r>
      <w:r w:rsidRPr="00DF47E1">
        <w:rPr>
          <w:rFonts w:eastAsia="Times New Roman"/>
          <w:sz w:val="24"/>
          <w:szCs w:val="24"/>
          <w:lang w:val="fr-FR"/>
        </w:rPr>
        <w:t xml:space="preserve"> endroits sécurisés, verrouillés et confidentiels en tout temps. Le stockage électronique des copies numérisées de tous les formulaires doit être effectué dans un fichier protégé par mot de passe auquel seul le point focal a accès. Les formulaires d'alerte et de consentement complétés doivent également être conservés dans des emplacements distincts.</w:t>
      </w:r>
    </w:p>
    <w:p w14:paraId="38B0EF0A" w14:textId="179EECE6" w:rsidR="00372BFB" w:rsidRDefault="00372BFB" w:rsidP="00555F20">
      <w:pPr>
        <w:pStyle w:val="LightGrid-Accent31"/>
        <w:spacing w:after="240"/>
        <w:ind w:left="0"/>
        <w:jc w:val="both"/>
        <w:rPr>
          <w:color w:val="000000"/>
          <w:sz w:val="24"/>
          <w:szCs w:val="24"/>
          <w:lang w:val="fr-FR"/>
        </w:rPr>
      </w:pPr>
      <w:r w:rsidRPr="00DF47E1">
        <w:rPr>
          <w:color w:val="000000"/>
          <w:sz w:val="24"/>
          <w:szCs w:val="24"/>
          <w:lang w:val="fr-FR"/>
        </w:rPr>
        <w:t xml:space="preserve">Dans la collecte de ces informations relatives aux allégations, tous les efforts doivent être entrepris afin de respecter la dignité de la victime et la confidentialité, en lien avec les principes énoncés ci-dessus. </w:t>
      </w:r>
      <w:r w:rsidRPr="00DF47E1">
        <w:rPr>
          <w:rStyle w:val="gmail-"/>
          <w:rFonts w:eastAsia="Times New Roman"/>
          <w:sz w:val="24"/>
          <w:szCs w:val="24"/>
          <w:lang w:val="fr-FR"/>
        </w:rPr>
        <w:t>Dans la mesure du possible, le nombre d'interlocuteurs auxquels la victime est confrontée doit être limité au strict minimum (par exemple, un agent responsable doit effectuer toutes les interactions avec la victime).</w:t>
      </w:r>
    </w:p>
    <w:p w14:paraId="213BD72C" w14:textId="4CE91C72" w:rsidR="00372BFB" w:rsidRPr="001301AA" w:rsidRDefault="00372BFB" w:rsidP="00555F20">
      <w:pPr>
        <w:pStyle w:val="LightGrid-Accent31"/>
        <w:spacing w:after="240"/>
        <w:ind w:left="0"/>
        <w:jc w:val="both"/>
        <w:rPr>
          <w:strike/>
          <w:color w:val="FF0000"/>
          <w:sz w:val="24"/>
          <w:szCs w:val="24"/>
          <w:lang w:val="fr-FR"/>
        </w:rPr>
      </w:pPr>
      <w:r w:rsidRPr="00DF47E1">
        <w:rPr>
          <w:sz w:val="24"/>
          <w:szCs w:val="24"/>
          <w:lang w:val="fr-FR"/>
        </w:rPr>
        <w:t xml:space="preserve">Le processus d’investigation par l’organe approprié doit être conduit de façon rapide et efficace. </w:t>
      </w:r>
    </w:p>
    <w:p w14:paraId="0FBA729A" w14:textId="77777777" w:rsidR="00372BFB" w:rsidRPr="00DF47E1" w:rsidRDefault="00372BFB" w:rsidP="00555F20">
      <w:pPr>
        <w:pStyle w:val="LightGrid-Accent31"/>
        <w:spacing w:after="240"/>
        <w:ind w:left="0"/>
        <w:jc w:val="both"/>
        <w:rPr>
          <w:sz w:val="24"/>
          <w:szCs w:val="24"/>
          <w:lang w:val="fr-FR"/>
        </w:rPr>
      </w:pPr>
      <w:r w:rsidRPr="00DF47E1">
        <w:rPr>
          <w:sz w:val="24"/>
          <w:szCs w:val="24"/>
          <w:lang w:val="fr-FR"/>
        </w:rPr>
        <w:t>Pour une représentation visuelle du processus de signalement, voir le diagramme: rapportage d’allégations en RCA</w:t>
      </w:r>
      <w:r>
        <w:rPr>
          <w:sz w:val="24"/>
          <w:szCs w:val="24"/>
          <w:lang w:val="fr-FR"/>
        </w:rPr>
        <w:t xml:space="preserve"> (Annexe IV</w:t>
      </w:r>
      <w:r w:rsidRPr="00DF47E1">
        <w:rPr>
          <w:sz w:val="24"/>
          <w:szCs w:val="24"/>
          <w:lang w:val="fr-FR"/>
        </w:rPr>
        <w:t>)</w:t>
      </w:r>
      <w:r w:rsidRPr="00DF47E1">
        <w:rPr>
          <w:rStyle w:val="FootnoteReference"/>
          <w:sz w:val="24"/>
          <w:szCs w:val="24"/>
          <w:lang w:val="fr-FR"/>
        </w:rPr>
        <w:footnoteReference w:id="7"/>
      </w:r>
      <w:r w:rsidRPr="00DF47E1">
        <w:rPr>
          <w:sz w:val="24"/>
          <w:szCs w:val="24"/>
          <w:lang w:val="fr-FR"/>
        </w:rPr>
        <w:t>.</w:t>
      </w:r>
    </w:p>
    <w:p w14:paraId="7ECB3996" w14:textId="7FE0E430" w:rsidR="00372BFB" w:rsidRPr="009E79EF" w:rsidRDefault="00372BFB" w:rsidP="009E79EF">
      <w:pPr>
        <w:pStyle w:val="ListParagraph"/>
        <w:numPr>
          <w:ilvl w:val="0"/>
          <w:numId w:val="44"/>
        </w:numPr>
        <w:spacing w:before="360" w:after="120"/>
        <w:rPr>
          <w:b/>
          <w:sz w:val="24"/>
          <w:szCs w:val="24"/>
          <w:u w:val="single"/>
          <w:lang w:val="fr-FR"/>
        </w:rPr>
      </w:pPr>
      <w:r w:rsidRPr="009E79EF">
        <w:rPr>
          <w:b/>
          <w:sz w:val="24"/>
          <w:szCs w:val="24"/>
          <w:u w:val="single"/>
          <w:lang w:val="fr-FR"/>
        </w:rPr>
        <w:t xml:space="preserve">Partage d’informations sur le processus de réponse </w:t>
      </w:r>
    </w:p>
    <w:p w14:paraId="566A2CD4" w14:textId="178E7AC9" w:rsidR="00372BFB" w:rsidRPr="00DF47E1" w:rsidRDefault="00372BFB" w:rsidP="00C17EC4">
      <w:pPr>
        <w:pStyle w:val="HTMLPreformatted"/>
        <w:shd w:val="clear" w:color="auto" w:fill="FFFFFF"/>
        <w:spacing w:after="240"/>
        <w:rPr>
          <w:rFonts w:ascii="Calibri" w:hAnsi="Calibri" w:cs="Times New Roman"/>
          <w:sz w:val="24"/>
          <w:szCs w:val="24"/>
          <w:lang w:val="fr-FR"/>
        </w:rPr>
      </w:pPr>
      <w:r w:rsidRPr="00DF47E1">
        <w:rPr>
          <w:rFonts w:ascii="Calibri" w:hAnsi="Calibri" w:cs="Times New Roman"/>
          <w:sz w:val="24"/>
          <w:szCs w:val="24"/>
          <w:lang w:val="fr-FR"/>
        </w:rPr>
        <w:t>Le processus de réponse est basé sur une approche centrée sur la victime durant l’ensemble des étapes nécessaires à la gestion du cas.</w:t>
      </w:r>
    </w:p>
    <w:p w14:paraId="295C38FC" w14:textId="54378213" w:rsidR="00372BFB" w:rsidRPr="00DF47E1" w:rsidRDefault="00372BFB" w:rsidP="00C17EC4">
      <w:pPr>
        <w:pStyle w:val="LightGrid-Accent31"/>
        <w:spacing w:after="240"/>
        <w:ind w:left="0"/>
        <w:jc w:val="both"/>
        <w:rPr>
          <w:rStyle w:val="gmail-"/>
          <w:rFonts w:eastAsia="Times New Roman"/>
          <w:sz w:val="24"/>
          <w:szCs w:val="24"/>
          <w:lang w:val="fr-FR"/>
        </w:rPr>
      </w:pPr>
      <w:r w:rsidRPr="00DF47E1">
        <w:rPr>
          <w:sz w:val="24"/>
          <w:szCs w:val="24"/>
          <w:lang w:val="fr-FR"/>
        </w:rPr>
        <w:lastRenderedPageBreak/>
        <w:t xml:space="preserve">La victime devrait être tenue informée par l’entité déclarante </w:t>
      </w:r>
      <w:r w:rsidRPr="00DF47E1">
        <w:rPr>
          <w:rStyle w:val="gmail-"/>
          <w:rFonts w:eastAsia="Times New Roman"/>
          <w:sz w:val="24"/>
          <w:szCs w:val="24"/>
          <w:lang w:val="fr-FR"/>
        </w:rPr>
        <w:t>des mesures prises pour donner suite à la plainte. À cette fin, l'entité concernée doit tenir l'entité déclarante et le/la coordonnateur/trice de la Task Force humanitaire sur les EAS informés en conséquence.</w:t>
      </w:r>
    </w:p>
    <w:p w14:paraId="2CD8640B" w14:textId="138A537F" w:rsidR="00372BFB" w:rsidRPr="00DF47E1" w:rsidRDefault="00372BFB" w:rsidP="00C17EC4">
      <w:pPr>
        <w:pStyle w:val="LightGrid-Accent31"/>
        <w:spacing w:after="240"/>
        <w:ind w:left="0"/>
        <w:jc w:val="both"/>
        <w:rPr>
          <w:sz w:val="24"/>
          <w:szCs w:val="24"/>
          <w:lang w:val="fr-FR"/>
        </w:rPr>
      </w:pPr>
      <w:r w:rsidRPr="00DF47E1">
        <w:rPr>
          <w:sz w:val="24"/>
          <w:szCs w:val="24"/>
          <w:lang w:val="fr-FR"/>
        </w:rPr>
        <w:t xml:space="preserve">La victime devrait bénéficier de conseils et soutenue tout au long de l’investigation; elle doit être particulièrement informée, autant que possible, des options disponibles, afin qu’elle puisse prendre des décisions éclairées dans son intérêt supérieur, y compris si la victime (son tuteur en cas de minorité) autorise la divulgation de sa déclaration ou de son identité et si elle souhaite participer à l’investigation ou aux poursuites. </w:t>
      </w:r>
      <w:r w:rsidR="00F9089D" w:rsidRPr="00F9089D">
        <w:rPr>
          <w:sz w:val="24"/>
          <w:szCs w:val="24"/>
          <w:lang w:val="fr-FR"/>
        </w:rPr>
        <w:t xml:space="preserve">Ce soutien </w:t>
      </w:r>
      <w:r w:rsidR="00F9089D">
        <w:rPr>
          <w:sz w:val="24"/>
          <w:szCs w:val="24"/>
          <w:lang w:val="fr-FR"/>
        </w:rPr>
        <w:t>peut</w:t>
      </w:r>
      <w:r w:rsidR="00F9089D" w:rsidRPr="00F9089D">
        <w:rPr>
          <w:sz w:val="24"/>
          <w:szCs w:val="24"/>
          <w:lang w:val="fr-FR"/>
        </w:rPr>
        <w:t xml:space="preserve"> être offert soit directement par du personnel qualifié </w:t>
      </w:r>
      <w:r w:rsidR="00F9089D">
        <w:rPr>
          <w:sz w:val="24"/>
          <w:szCs w:val="24"/>
          <w:lang w:val="fr-FR"/>
        </w:rPr>
        <w:t xml:space="preserve">de </w:t>
      </w:r>
      <w:r w:rsidR="00F9089D" w:rsidRPr="00F9089D">
        <w:rPr>
          <w:sz w:val="24"/>
          <w:szCs w:val="24"/>
          <w:lang w:val="fr-FR"/>
        </w:rPr>
        <w:t xml:space="preserve">l'entité concernée, soit par </w:t>
      </w:r>
      <w:r w:rsidR="00F9089D">
        <w:rPr>
          <w:sz w:val="24"/>
          <w:szCs w:val="24"/>
          <w:lang w:val="fr-FR"/>
        </w:rPr>
        <w:t>référence</w:t>
      </w:r>
      <w:r w:rsidR="00F9089D" w:rsidRPr="00F9089D">
        <w:rPr>
          <w:sz w:val="24"/>
          <w:szCs w:val="24"/>
          <w:lang w:val="fr-FR"/>
        </w:rPr>
        <w:t xml:space="preserve"> à d'autres </w:t>
      </w:r>
      <w:r w:rsidR="00F9089D">
        <w:rPr>
          <w:sz w:val="24"/>
          <w:szCs w:val="24"/>
          <w:lang w:val="fr-FR"/>
        </w:rPr>
        <w:t>prestataires</w:t>
      </w:r>
      <w:r w:rsidR="00F9089D" w:rsidRPr="00F9089D">
        <w:rPr>
          <w:sz w:val="24"/>
          <w:szCs w:val="24"/>
          <w:lang w:val="fr-FR"/>
        </w:rPr>
        <w:t xml:space="preserve"> de services qualifiés.</w:t>
      </w:r>
    </w:p>
    <w:p w14:paraId="3AB69177" w14:textId="55FC62FF" w:rsidR="00372BFB" w:rsidRPr="00EC188E" w:rsidRDefault="00372BFB" w:rsidP="000613B4">
      <w:pPr>
        <w:numPr>
          <w:ilvl w:val="0"/>
          <w:numId w:val="43"/>
        </w:numPr>
        <w:spacing w:before="360" w:after="120"/>
        <w:ind w:left="714" w:hanging="357"/>
        <w:rPr>
          <w:b/>
          <w:sz w:val="24"/>
          <w:szCs w:val="24"/>
          <w:u w:val="single"/>
          <w:lang w:val="fr-FR"/>
        </w:rPr>
      </w:pPr>
      <w:r w:rsidRPr="00EC188E">
        <w:rPr>
          <w:b/>
          <w:sz w:val="24"/>
          <w:szCs w:val="24"/>
          <w:u w:val="single"/>
          <w:lang w:val="fr-FR"/>
        </w:rPr>
        <w:t xml:space="preserve">Résultats d’investigations concernant les </w:t>
      </w:r>
      <w:r w:rsidR="000A5240">
        <w:rPr>
          <w:b/>
          <w:sz w:val="24"/>
          <w:szCs w:val="24"/>
          <w:u w:val="single"/>
          <w:lang w:val="fr-FR"/>
        </w:rPr>
        <w:t>cas rapportés</w:t>
      </w:r>
    </w:p>
    <w:p w14:paraId="08F75328" w14:textId="77777777" w:rsidR="00372BFB" w:rsidRPr="00DF47E1" w:rsidRDefault="00372BFB" w:rsidP="001236C4">
      <w:pPr>
        <w:spacing w:after="120"/>
        <w:jc w:val="both"/>
        <w:rPr>
          <w:sz w:val="24"/>
          <w:szCs w:val="24"/>
          <w:lang w:val="fr-FR"/>
        </w:rPr>
      </w:pPr>
      <w:r w:rsidRPr="00DF47E1">
        <w:rPr>
          <w:sz w:val="24"/>
          <w:szCs w:val="24"/>
          <w:lang w:val="fr-FR"/>
        </w:rPr>
        <w:t xml:space="preserve">La victime a le droit de connaître les conclusions de sa plainte. L’entité qui a rapporté le cas devrait directement informer la victime ou son tuteur, en cas de minorité, des résultats de sa plainte (en cas de faits établis et/ou non établis, toute mesure corrective prise, toute mesure préventive prive, etc.) dans les 6 mois du rapportage du cas. </w:t>
      </w:r>
      <w:r w:rsidRPr="00DF47E1">
        <w:rPr>
          <w:rStyle w:val="gmail-"/>
          <w:rFonts w:eastAsia="Times New Roman"/>
          <w:sz w:val="24"/>
          <w:szCs w:val="24"/>
          <w:lang w:val="fr-FR"/>
        </w:rPr>
        <w:t>À cette fin, l'entité concernée doit tenir le/la coordonnateur/trice de la Task Force humanitaire sur les EAS informé(e) en conséquence.</w:t>
      </w:r>
    </w:p>
    <w:p w14:paraId="133DDF9B" w14:textId="77777777" w:rsidR="00372BFB" w:rsidRPr="00DF47E1" w:rsidRDefault="00372BFB" w:rsidP="00ED4E9C">
      <w:pPr>
        <w:pStyle w:val="LightGrid-Accent31"/>
        <w:numPr>
          <w:ilvl w:val="0"/>
          <w:numId w:val="43"/>
        </w:numPr>
        <w:spacing w:before="360" w:after="120"/>
        <w:ind w:left="714" w:hanging="357"/>
        <w:jc w:val="both"/>
        <w:rPr>
          <w:b/>
          <w:sz w:val="24"/>
          <w:szCs w:val="24"/>
          <w:u w:val="single"/>
          <w:lang w:val="fr-FR"/>
        </w:rPr>
      </w:pPr>
      <w:r w:rsidRPr="00DF47E1">
        <w:rPr>
          <w:b/>
          <w:sz w:val="24"/>
          <w:szCs w:val="24"/>
          <w:u w:val="single"/>
          <w:lang w:val="fr-FR"/>
        </w:rPr>
        <w:t>Responsabilités</w:t>
      </w:r>
    </w:p>
    <w:p w14:paraId="47B7E805" w14:textId="77777777" w:rsidR="00372BFB" w:rsidRPr="00DF47E1" w:rsidRDefault="00372BFB" w:rsidP="00A77C9E">
      <w:pPr>
        <w:spacing w:after="240"/>
        <w:jc w:val="both"/>
        <w:rPr>
          <w:rStyle w:val="gmail-"/>
          <w:rFonts w:eastAsia="Times New Roman"/>
          <w:sz w:val="24"/>
          <w:szCs w:val="24"/>
          <w:lang w:val="fr-FR"/>
        </w:rPr>
      </w:pPr>
      <w:r w:rsidRPr="00DF47E1">
        <w:rPr>
          <w:rStyle w:val="gmail-"/>
          <w:rFonts w:eastAsia="Times New Roman"/>
          <w:sz w:val="24"/>
          <w:szCs w:val="24"/>
          <w:lang w:val="fr-FR"/>
        </w:rPr>
        <w:t>Les entités concernées doivent être rapidement informées de TOUTES les allégations d'EAS faites à l'encontre de membres ou d'anciens membres du personnel ou de personnes travaillant pour ou ayant travaillé pour elles, rémunérées ou non, temporairement ou permanemment. À cet égard, si une entité signataire reçoit une plainte contre une autre entité signataire, il est tenu d'informer immédiatement l'entité concernée.</w:t>
      </w:r>
    </w:p>
    <w:p w14:paraId="754CCFD2" w14:textId="77777777" w:rsidR="00372BFB" w:rsidRPr="00DF47E1" w:rsidRDefault="00372BFB" w:rsidP="00A77C9E">
      <w:pPr>
        <w:spacing w:after="240"/>
        <w:jc w:val="both"/>
        <w:rPr>
          <w:sz w:val="24"/>
          <w:szCs w:val="24"/>
          <w:lang w:val="fr-FR"/>
        </w:rPr>
      </w:pPr>
      <w:r w:rsidRPr="00DF47E1">
        <w:rPr>
          <w:rStyle w:val="gmail-"/>
          <w:rFonts w:eastAsia="Times New Roman"/>
          <w:sz w:val="24"/>
          <w:szCs w:val="24"/>
          <w:lang w:val="fr-FR"/>
        </w:rPr>
        <w:t>En même temps, chaque entité signataire est tenu d'informer le/la coordonnateur/trice de la Task Force humanitaire sur les EAS, par un email officiel, de toute plainte reçue, que ce soit d'autres entités signataires, de la victime ou de tout autre mécanisme.</w:t>
      </w:r>
    </w:p>
    <w:p w14:paraId="1ECD9A7C" w14:textId="77777777" w:rsidR="00372BFB" w:rsidRPr="00DF47E1" w:rsidRDefault="00372BFB" w:rsidP="00A77C9E">
      <w:pPr>
        <w:spacing w:after="240"/>
        <w:jc w:val="both"/>
        <w:rPr>
          <w:sz w:val="24"/>
          <w:szCs w:val="24"/>
          <w:lang w:val="fr-FR"/>
        </w:rPr>
      </w:pPr>
      <w:r w:rsidRPr="00DF47E1">
        <w:rPr>
          <w:sz w:val="24"/>
          <w:szCs w:val="24"/>
          <w:lang w:val="fr-FR"/>
        </w:rPr>
        <w:t xml:space="preserve">A réception d’allégations, chaque entité s’occupera des allégations contre son propre personnel en application de sa procédure d’investigation interne. Les entités signataires doivent être </w:t>
      </w:r>
      <w:r w:rsidRPr="00DF47E1">
        <w:rPr>
          <w:sz w:val="24"/>
          <w:szCs w:val="24"/>
          <w:u w:val="single"/>
          <w:lang w:val="fr-FR"/>
        </w:rPr>
        <w:t>informées rapidement de CHAQUE allégation d’EAS contre leur membre du personnel</w:t>
      </w:r>
      <w:r w:rsidRPr="00DF47E1">
        <w:rPr>
          <w:sz w:val="24"/>
          <w:szCs w:val="24"/>
          <w:lang w:val="fr-FR"/>
        </w:rPr>
        <w:t xml:space="preserve">. </w:t>
      </w:r>
    </w:p>
    <w:p w14:paraId="50AC4FCD" w14:textId="66DD9D15" w:rsidR="00372BFB" w:rsidRPr="00DF47E1" w:rsidRDefault="00372BFB" w:rsidP="00A77C9E">
      <w:pPr>
        <w:spacing w:after="240"/>
        <w:jc w:val="both"/>
        <w:rPr>
          <w:sz w:val="24"/>
          <w:szCs w:val="24"/>
          <w:lang w:val="fr-FR"/>
        </w:rPr>
      </w:pPr>
      <w:r w:rsidRPr="00DF47E1">
        <w:rPr>
          <w:sz w:val="24"/>
          <w:szCs w:val="24"/>
          <w:lang w:val="fr-FR"/>
        </w:rPr>
        <w:t>Les organes suivants sont responsables du traitement des allégations d’EAS</w:t>
      </w:r>
      <w:r w:rsidR="000E2442">
        <w:rPr>
          <w:sz w:val="24"/>
          <w:szCs w:val="24"/>
          <w:lang w:val="fr-FR"/>
        </w:rPr>
        <w:t> :</w:t>
      </w:r>
      <w:r w:rsidR="00505FAA">
        <w:rPr>
          <w:sz w:val="24"/>
          <w:szCs w:val="24"/>
          <w:lang w:val="fr-FR"/>
        </w:rPr>
        <w:t xml:space="preserve"> </w:t>
      </w:r>
    </w:p>
    <w:p w14:paraId="7D7E539F" w14:textId="77777777" w:rsidR="00372BFB" w:rsidRPr="00DF47E1" w:rsidRDefault="00372BFB" w:rsidP="001236C4">
      <w:pPr>
        <w:pStyle w:val="CommentText"/>
        <w:numPr>
          <w:ilvl w:val="0"/>
          <w:numId w:val="26"/>
        </w:numPr>
        <w:spacing w:after="120" w:line="276" w:lineRule="auto"/>
        <w:jc w:val="both"/>
        <w:rPr>
          <w:b/>
          <w:sz w:val="24"/>
          <w:szCs w:val="24"/>
          <w:lang w:val="fr-FR"/>
        </w:rPr>
      </w:pPr>
      <w:r w:rsidRPr="00DF47E1">
        <w:rPr>
          <w:b/>
          <w:sz w:val="24"/>
          <w:szCs w:val="24"/>
          <w:lang w:val="fr-FR"/>
        </w:rPr>
        <w:t xml:space="preserve">Allégations d’EAS contre le personnel de la MINUSCA </w:t>
      </w:r>
    </w:p>
    <w:p w14:paraId="725AE708" w14:textId="77777777" w:rsidR="00372BFB" w:rsidRPr="00DF47E1" w:rsidRDefault="00372BFB" w:rsidP="001236C4">
      <w:pPr>
        <w:spacing w:after="120"/>
        <w:jc w:val="both"/>
        <w:rPr>
          <w:sz w:val="24"/>
          <w:szCs w:val="24"/>
          <w:lang w:val="fr-FR"/>
        </w:rPr>
      </w:pPr>
      <w:r w:rsidRPr="00DF47E1">
        <w:rPr>
          <w:sz w:val="24"/>
          <w:szCs w:val="24"/>
          <w:lang w:val="fr-FR"/>
        </w:rPr>
        <w:t xml:space="preserve">L’équipe de Déontologie et de Discipline de la MINUSCA (CDT) en RCA est le point de contact pour les allégations d’EAS par le personnel assigné ou fournissant des services à la </w:t>
      </w:r>
      <w:r w:rsidRPr="00DF47E1">
        <w:rPr>
          <w:sz w:val="24"/>
          <w:szCs w:val="24"/>
          <w:lang w:val="fr-FR"/>
        </w:rPr>
        <w:lastRenderedPageBreak/>
        <w:t>MINUSCA. La CDT est compétente pour recevoir et traiter ces allégations concernant tous les personnels de la MINUSCA</w:t>
      </w:r>
      <w:r w:rsidRPr="00DF47E1">
        <w:rPr>
          <w:rStyle w:val="FootnoteReference"/>
          <w:sz w:val="24"/>
          <w:szCs w:val="24"/>
          <w:lang w:val="fr-FR"/>
        </w:rPr>
        <w:footnoteReference w:id="8"/>
      </w:r>
      <w:r w:rsidRPr="00DF47E1">
        <w:rPr>
          <w:sz w:val="24"/>
          <w:szCs w:val="24"/>
          <w:lang w:val="fr-FR"/>
        </w:rPr>
        <w:t xml:space="preserve"> mais ne peut que SEULEMENT recevoir des allégations concernant les forces militaires étrangères opérant sous l’autorisation du Conseil de Sécurité hors commandement de la MINUSCA (Forces de sécurité hors UN). </w:t>
      </w:r>
    </w:p>
    <w:p w14:paraId="245E09E1" w14:textId="77777777" w:rsidR="00372BFB" w:rsidRPr="00DF47E1" w:rsidRDefault="00372BFB" w:rsidP="001236C4">
      <w:pPr>
        <w:pStyle w:val="CommentText"/>
        <w:numPr>
          <w:ilvl w:val="0"/>
          <w:numId w:val="26"/>
        </w:numPr>
        <w:spacing w:after="120" w:line="276" w:lineRule="auto"/>
        <w:jc w:val="both"/>
        <w:rPr>
          <w:b/>
          <w:sz w:val="24"/>
          <w:szCs w:val="24"/>
          <w:lang w:val="fr-FR"/>
        </w:rPr>
      </w:pPr>
      <w:r w:rsidRPr="00DF47E1">
        <w:rPr>
          <w:b/>
          <w:sz w:val="24"/>
          <w:szCs w:val="24"/>
          <w:lang w:val="fr-FR"/>
        </w:rPr>
        <w:t>Allégations d’EAS contre le personnel des agences des UN</w:t>
      </w:r>
    </w:p>
    <w:p w14:paraId="46ADCCD6" w14:textId="07153298" w:rsidR="00372BFB" w:rsidRPr="00DF47E1" w:rsidRDefault="00372BFB" w:rsidP="001236C4">
      <w:pPr>
        <w:spacing w:after="120"/>
        <w:jc w:val="both"/>
        <w:rPr>
          <w:sz w:val="24"/>
          <w:szCs w:val="24"/>
          <w:lang w:val="fr-FR"/>
        </w:rPr>
      </w:pPr>
      <w:r w:rsidRPr="00DF47E1">
        <w:rPr>
          <w:rStyle w:val="gmail-"/>
          <w:rFonts w:eastAsia="Times New Roman"/>
          <w:sz w:val="24"/>
          <w:szCs w:val="24"/>
          <w:lang w:val="fr-FR"/>
        </w:rPr>
        <w:t xml:space="preserve">Chaque agence ou bureau des Nations Unies désigne un point focal EAS qui est à contacter en cas d’allégation. Le représentant et / ou le point focal EAS est chargé d'assurer l'investigation interne et d'assurer l'assistance à la victime. De plus, il / elle doit informer le/la coordonnateur/trice de la Task Force humanitaire sur les EAS des résultats de l'investigation interne, sans partager l'information </w:t>
      </w:r>
      <w:r w:rsidR="00BC0334">
        <w:rPr>
          <w:rStyle w:val="gmail-"/>
          <w:rFonts w:eastAsia="Times New Roman"/>
          <w:sz w:val="24"/>
          <w:szCs w:val="24"/>
          <w:lang w:val="fr-FR"/>
        </w:rPr>
        <w:t xml:space="preserve">détaillée </w:t>
      </w:r>
      <w:r w:rsidRPr="00DF47E1">
        <w:rPr>
          <w:rStyle w:val="gmail-"/>
          <w:rFonts w:eastAsia="Times New Roman"/>
          <w:sz w:val="24"/>
          <w:szCs w:val="24"/>
          <w:lang w:val="fr-FR"/>
        </w:rPr>
        <w:t>qui permettrait l'identification de la victime.</w:t>
      </w:r>
    </w:p>
    <w:p w14:paraId="14980E41" w14:textId="5342B687" w:rsidR="00372BFB" w:rsidRPr="00DF47E1" w:rsidRDefault="00372BFB" w:rsidP="001236C4">
      <w:pPr>
        <w:spacing w:after="120"/>
        <w:jc w:val="both"/>
        <w:rPr>
          <w:sz w:val="24"/>
          <w:szCs w:val="24"/>
          <w:lang w:val="fr-FR"/>
        </w:rPr>
      </w:pPr>
      <w:r w:rsidRPr="00DF47E1">
        <w:rPr>
          <w:sz w:val="24"/>
          <w:szCs w:val="24"/>
          <w:lang w:val="fr-FR"/>
        </w:rPr>
        <w:t>Le Représentant et/ou le point focal PSEA de l’Agence à laquelle le personnel est assigné ou fourni</w:t>
      </w:r>
      <w:r w:rsidR="00BC0334">
        <w:rPr>
          <w:sz w:val="24"/>
          <w:szCs w:val="24"/>
          <w:lang w:val="fr-FR"/>
        </w:rPr>
        <w:t>t</w:t>
      </w:r>
      <w:r w:rsidRPr="00DF47E1">
        <w:rPr>
          <w:sz w:val="24"/>
          <w:szCs w:val="24"/>
          <w:lang w:val="fr-FR"/>
        </w:rPr>
        <w:t xml:space="preserve"> des services est la personne à contacter concernant les allégations d’EAS.</w:t>
      </w:r>
    </w:p>
    <w:p w14:paraId="2867854B" w14:textId="77777777" w:rsidR="00372BFB" w:rsidRPr="00DF47E1" w:rsidRDefault="00372BFB" w:rsidP="001236C4">
      <w:pPr>
        <w:pStyle w:val="CommentText"/>
        <w:numPr>
          <w:ilvl w:val="0"/>
          <w:numId w:val="12"/>
        </w:numPr>
        <w:spacing w:after="120" w:line="276" w:lineRule="auto"/>
        <w:jc w:val="both"/>
        <w:rPr>
          <w:b/>
          <w:sz w:val="24"/>
          <w:szCs w:val="24"/>
          <w:lang w:val="fr-FR"/>
        </w:rPr>
      </w:pPr>
      <w:r w:rsidRPr="00DF47E1">
        <w:rPr>
          <w:b/>
          <w:sz w:val="24"/>
          <w:szCs w:val="24"/>
          <w:lang w:val="fr-FR"/>
        </w:rPr>
        <w:t>Allégations d’EAS contre du personnel hors ONU</w:t>
      </w:r>
    </w:p>
    <w:p w14:paraId="26715222" w14:textId="77777777" w:rsidR="00372BFB" w:rsidRPr="00DF47E1" w:rsidRDefault="00372BFB" w:rsidP="001236C4">
      <w:pPr>
        <w:pStyle w:val="CommentText"/>
        <w:spacing w:after="120" w:line="276" w:lineRule="auto"/>
        <w:jc w:val="both"/>
        <w:rPr>
          <w:rStyle w:val="gmail-"/>
          <w:rFonts w:eastAsia="Times New Roman"/>
          <w:sz w:val="24"/>
          <w:szCs w:val="24"/>
          <w:lang w:val="fr-FR"/>
        </w:rPr>
      </w:pPr>
      <w:r w:rsidRPr="00DF47E1">
        <w:rPr>
          <w:sz w:val="24"/>
          <w:szCs w:val="24"/>
          <w:lang w:val="fr-FR"/>
        </w:rPr>
        <w:t xml:space="preserve">Chaque ONG internationale ou organisation nationale devrait avoir désigné un point focal qui </w:t>
      </w:r>
      <w:r w:rsidRPr="00DF47E1">
        <w:rPr>
          <w:rStyle w:val="gmail-"/>
          <w:rFonts w:eastAsia="Times New Roman"/>
          <w:sz w:val="24"/>
          <w:szCs w:val="24"/>
          <w:lang w:val="fr-FR"/>
        </w:rPr>
        <w:t>est chargé d'assurer l'investigation interne et d'assurer l'assistance à la victime. De plus, il / elle doit informer le/la coordonnateur/trice de la Task Force humanitaire sur les EAS des résultats de l'investigation interne, sans partager l'information qui permettrait l'identification de la victime.</w:t>
      </w:r>
    </w:p>
    <w:p w14:paraId="6468AB8E" w14:textId="17873F11" w:rsidR="00372BFB" w:rsidRPr="00DF47E1" w:rsidRDefault="00372BFB" w:rsidP="001236C4">
      <w:pPr>
        <w:pStyle w:val="CommentText"/>
        <w:spacing w:after="120" w:line="276" w:lineRule="auto"/>
        <w:jc w:val="both"/>
        <w:rPr>
          <w:rStyle w:val="gmail-"/>
          <w:rFonts w:eastAsia="Times New Roman"/>
          <w:sz w:val="24"/>
          <w:szCs w:val="24"/>
          <w:lang w:val="fr-FR"/>
        </w:rPr>
      </w:pPr>
      <w:r w:rsidRPr="00DF47E1">
        <w:rPr>
          <w:rFonts w:eastAsia="Times New Roman"/>
          <w:sz w:val="24"/>
          <w:szCs w:val="24"/>
          <w:lang w:val="fr-FR"/>
        </w:rPr>
        <w:t xml:space="preserve">En cas de capacité interne insuffisante pour mener à bien ces tâches, l'organisation peut s'adresser à la Task Force humanitaire </w:t>
      </w:r>
      <w:r w:rsidR="00C17EC4">
        <w:rPr>
          <w:rFonts w:eastAsia="Times New Roman"/>
          <w:sz w:val="24"/>
          <w:szCs w:val="24"/>
          <w:lang w:val="fr-FR"/>
        </w:rPr>
        <w:t>EAS</w:t>
      </w:r>
      <w:r w:rsidRPr="00DF47E1">
        <w:rPr>
          <w:rFonts w:eastAsia="Times New Roman"/>
          <w:sz w:val="24"/>
          <w:szCs w:val="24"/>
          <w:lang w:val="fr-FR"/>
        </w:rPr>
        <w:t xml:space="preserve"> pour obtenir de l'aide.</w:t>
      </w:r>
    </w:p>
    <w:p w14:paraId="1E8A522F" w14:textId="77777777" w:rsidR="00372BFB" w:rsidRPr="00DF47E1" w:rsidRDefault="00372BFB" w:rsidP="001236C4">
      <w:pPr>
        <w:pStyle w:val="CommentText"/>
        <w:numPr>
          <w:ilvl w:val="0"/>
          <w:numId w:val="12"/>
        </w:numPr>
        <w:spacing w:after="120" w:line="276" w:lineRule="auto"/>
        <w:jc w:val="both"/>
        <w:rPr>
          <w:b/>
          <w:sz w:val="24"/>
          <w:szCs w:val="24"/>
          <w:lang w:val="fr-FR"/>
        </w:rPr>
      </w:pPr>
      <w:r w:rsidRPr="00DF47E1">
        <w:rPr>
          <w:b/>
          <w:sz w:val="24"/>
          <w:szCs w:val="24"/>
          <w:lang w:val="fr-FR"/>
        </w:rPr>
        <w:t xml:space="preserve">Allégations d’EAS contre les Forces de Sécurité Internationales </w:t>
      </w:r>
    </w:p>
    <w:p w14:paraId="2B74A38B" w14:textId="296C77D7" w:rsidR="00372BFB" w:rsidRDefault="00372BFB" w:rsidP="00A77C9E">
      <w:pPr>
        <w:pStyle w:val="Heading3"/>
        <w:spacing w:before="0" w:after="120"/>
        <w:jc w:val="both"/>
        <w:rPr>
          <w:rFonts w:eastAsia="Calibri"/>
          <w:b w:val="0"/>
          <w:bCs w:val="0"/>
          <w:sz w:val="24"/>
          <w:szCs w:val="24"/>
          <w:lang w:val="fr-FR"/>
        </w:rPr>
      </w:pPr>
      <w:r w:rsidRPr="00DF47E1">
        <w:rPr>
          <w:rFonts w:eastAsia="Calibri"/>
          <w:b w:val="0"/>
          <w:bCs w:val="0"/>
          <w:sz w:val="24"/>
          <w:szCs w:val="24"/>
          <w:lang w:val="fr-FR"/>
        </w:rPr>
        <w:t xml:space="preserve">Le </w:t>
      </w:r>
      <w:hyperlink r:id="rId8" w:history="1">
        <w:r w:rsidRPr="00DF47E1">
          <w:rPr>
            <w:rFonts w:eastAsia="Calibri"/>
            <w:b w:val="0"/>
            <w:bCs w:val="0"/>
            <w:sz w:val="24"/>
            <w:szCs w:val="24"/>
            <w:lang w:val="fr-FR"/>
          </w:rPr>
          <w:t>Haut-Commissariat des Nations unies aux droits de l'homme</w:t>
        </w:r>
      </w:hyperlink>
      <w:r w:rsidRPr="00DF47E1">
        <w:rPr>
          <w:rFonts w:eastAsia="Calibri"/>
          <w:b w:val="0"/>
          <w:bCs w:val="0"/>
          <w:sz w:val="24"/>
          <w:szCs w:val="24"/>
          <w:lang w:val="fr-FR"/>
        </w:rPr>
        <w:t xml:space="preserve"> (OHCHR)</w:t>
      </w:r>
      <w:r w:rsidRPr="00DF47E1" w:rsidDel="00384514">
        <w:rPr>
          <w:rFonts w:eastAsia="Calibri"/>
          <w:b w:val="0"/>
          <w:bCs w:val="0"/>
          <w:sz w:val="24"/>
          <w:szCs w:val="24"/>
          <w:lang w:val="fr-FR"/>
        </w:rPr>
        <w:t xml:space="preserve"> </w:t>
      </w:r>
      <w:r w:rsidRPr="00DF47E1">
        <w:rPr>
          <w:rFonts w:eastAsia="Calibri"/>
          <w:b w:val="0"/>
          <w:bCs w:val="0"/>
          <w:sz w:val="24"/>
          <w:szCs w:val="24"/>
          <w:lang w:val="fr-FR"/>
        </w:rPr>
        <w:t xml:space="preserve">est l’entité du système des Nations Unies concernant les allégations d’EAS impliquant les Forces de sécurité hors UN. </w:t>
      </w:r>
    </w:p>
    <w:p w14:paraId="71F05A88" w14:textId="77777777" w:rsidR="00BA4994" w:rsidRPr="00BA4994" w:rsidRDefault="00BA4994" w:rsidP="00BA4994"/>
    <w:p w14:paraId="1F6F1593" w14:textId="43F898D8" w:rsidR="002F0A81" w:rsidRPr="00BA4994" w:rsidRDefault="006630EB" w:rsidP="0038003E">
      <w:pPr>
        <w:jc w:val="both"/>
        <w:rPr>
          <w:sz w:val="24"/>
          <w:szCs w:val="24"/>
        </w:rPr>
      </w:pPr>
      <w:r w:rsidRPr="00BA4994">
        <w:rPr>
          <w:b/>
          <w:i/>
          <w:sz w:val="24"/>
          <w:szCs w:val="24"/>
          <w:lang w:val="fr-FR"/>
        </w:rPr>
        <w:t xml:space="preserve">NB : </w:t>
      </w:r>
      <w:r w:rsidR="002F0A81" w:rsidRPr="00BA4994">
        <w:rPr>
          <w:b/>
          <w:i/>
          <w:sz w:val="24"/>
          <w:szCs w:val="24"/>
          <w:lang w:val="fr-FR"/>
        </w:rPr>
        <w:t xml:space="preserve">Le protocole est sans préjudice des droits et obligations établis dans les règles, politiques et procédures des </w:t>
      </w:r>
      <w:r w:rsidR="0038003E" w:rsidRPr="00BA4994">
        <w:rPr>
          <w:b/>
          <w:i/>
          <w:sz w:val="24"/>
          <w:szCs w:val="24"/>
          <w:lang w:val="fr-FR"/>
        </w:rPr>
        <w:t xml:space="preserve">agences et organisations </w:t>
      </w:r>
      <w:r w:rsidR="002F0A81" w:rsidRPr="00BA4994">
        <w:rPr>
          <w:b/>
          <w:i/>
          <w:sz w:val="24"/>
          <w:szCs w:val="24"/>
          <w:lang w:val="fr-FR"/>
        </w:rPr>
        <w:t>participantes (en particulier en ce qui concerne l'investigation des allégations d'EAS).</w:t>
      </w:r>
    </w:p>
    <w:p w14:paraId="34B2E5C9" w14:textId="77777777" w:rsidR="00372BFB" w:rsidRPr="00A77C9E" w:rsidRDefault="00372BFB" w:rsidP="00A77C9E">
      <w:pPr>
        <w:pStyle w:val="LightGrid-Accent31"/>
        <w:numPr>
          <w:ilvl w:val="0"/>
          <w:numId w:val="43"/>
        </w:numPr>
        <w:spacing w:before="360" w:after="120"/>
        <w:ind w:left="714" w:hanging="357"/>
        <w:jc w:val="both"/>
        <w:rPr>
          <w:b/>
          <w:sz w:val="24"/>
          <w:szCs w:val="24"/>
          <w:lang w:val="fr-FR"/>
        </w:rPr>
      </w:pPr>
      <w:r w:rsidRPr="00A77C9E">
        <w:rPr>
          <w:b/>
          <w:sz w:val="24"/>
          <w:szCs w:val="24"/>
          <w:u w:val="single"/>
          <w:lang w:val="fr-FR"/>
        </w:rPr>
        <w:t>Assistance aux victimes</w:t>
      </w:r>
    </w:p>
    <w:p w14:paraId="5A37D698" w14:textId="104011FB" w:rsidR="00E87CD9" w:rsidRPr="00F26FE2" w:rsidRDefault="00E87CD9" w:rsidP="001236C4">
      <w:pPr>
        <w:pStyle w:val="LightGrid-Accent31"/>
        <w:spacing w:after="120"/>
        <w:ind w:left="0"/>
        <w:jc w:val="both"/>
        <w:rPr>
          <w:sz w:val="24"/>
          <w:szCs w:val="24"/>
          <w:lang w:val="fr-FR"/>
        </w:rPr>
      </w:pPr>
      <w:r w:rsidRPr="00F26FE2">
        <w:rPr>
          <w:sz w:val="24"/>
          <w:szCs w:val="24"/>
          <w:lang w:val="fr-FR"/>
        </w:rPr>
        <w:t>L’assistance est apportée aux victimes sur la base de l’approche centrée sur la survivante/victime et dans le respect du Protocole d’assistance aux vict</w:t>
      </w:r>
      <w:r w:rsidR="006A5361" w:rsidRPr="00F26FE2">
        <w:rPr>
          <w:sz w:val="24"/>
          <w:szCs w:val="24"/>
          <w:lang w:val="fr-FR"/>
        </w:rPr>
        <w:t>i</w:t>
      </w:r>
      <w:r w:rsidRPr="00F26FE2">
        <w:rPr>
          <w:sz w:val="24"/>
          <w:szCs w:val="24"/>
          <w:lang w:val="fr-FR"/>
        </w:rPr>
        <w:t>mes</w:t>
      </w:r>
      <w:r w:rsidR="006A5361" w:rsidRPr="00F26FE2">
        <w:rPr>
          <w:sz w:val="24"/>
          <w:szCs w:val="24"/>
          <w:lang w:val="fr-FR"/>
        </w:rPr>
        <w:t>. Cela ne doit donc</w:t>
      </w:r>
      <w:r w:rsidRPr="00F26FE2">
        <w:rPr>
          <w:sz w:val="24"/>
          <w:szCs w:val="24"/>
          <w:lang w:val="fr-FR"/>
        </w:rPr>
        <w:t xml:space="preserve"> pas être liée au résultat de l’investigation. </w:t>
      </w:r>
      <w:r w:rsidR="00D520E3" w:rsidRPr="00F26FE2">
        <w:rPr>
          <w:sz w:val="24"/>
          <w:szCs w:val="24"/>
          <w:lang w:val="fr-FR"/>
        </w:rPr>
        <w:t xml:space="preserve">L’assistance est apportée </w:t>
      </w:r>
      <w:r w:rsidR="0051561E" w:rsidRPr="00F26FE2">
        <w:rPr>
          <w:sz w:val="24"/>
          <w:szCs w:val="24"/>
          <w:lang w:val="fr-FR"/>
        </w:rPr>
        <w:t xml:space="preserve">dès rapportage du </w:t>
      </w:r>
      <w:r w:rsidR="0051561E" w:rsidRPr="00F26FE2">
        <w:rPr>
          <w:sz w:val="24"/>
          <w:szCs w:val="24"/>
          <w:lang w:val="fr-FR"/>
        </w:rPr>
        <w:lastRenderedPageBreak/>
        <w:t xml:space="preserve">cas dans le respect de la volonté de la victime et </w:t>
      </w:r>
      <w:r w:rsidR="00601318" w:rsidRPr="00F26FE2">
        <w:rPr>
          <w:sz w:val="24"/>
          <w:szCs w:val="24"/>
          <w:lang w:val="fr-FR"/>
        </w:rPr>
        <w:t xml:space="preserve">par le biais des </w:t>
      </w:r>
      <w:r w:rsidR="001301AA" w:rsidRPr="00F26FE2">
        <w:rPr>
          <w:sz w:val="24"/>
          <w:szCs w:val="24"/>
          <w:lang w:val="fr-FR"/>
        </w:rPr>
        <w:t xml:space="preserve">partenaires et circuits de </w:t>
      </w:r>
      <w:r w:rsidR="00406F0C" w:rsidRPr="00F26FE2">
        <w:rPr>
          <w:sz w:val="24"/>
          <w:szCs w:val="24"/>
          <w:lang w:val="fr-FR"/>
        </w:rPr>
        <w:t>référencement</w:t>
      </w:r>
      <w:r w:rsidR="00F2133F" w:rsidRPr="00F26FE2">
        <w:rPr>
          <w:sz w:val="24"/>
          <w:szCs w:val="24"/>
          <w:lang w:val="fr-FR"/>
        </w:rPr>
        <w:t xml:space="preserve"> existants</w:t>
      </w:r>
      <w:r w:rsidR="00601318" w:rsidRPr="00F26FE2">
        <w:rPr>
          <w:rFonts w:eastAsia="Times New Roman"/>
          <w:lang w:val="fr-FR"/>
        </w:rPr>
        <w:t>.</w:t>
      </w:r>
    </w:p>
    <w:p w14:paraId="4282C77F" w14:textId="77777777" w:rsidR="00372BFB" w:rsidRPr="00DF47E1" w:rsidRDefault="00372BFB" w:rsidP="00A77C9E">
      <w:pPr>
        <w:pStyle w:val="LightGrid-Accent31"/>
        <w:numPr>
          <w:ilvl w:val="0"/>
          <w:numId w:val="43"/>
        </w:numPr>
        <w:spacing w:before="360" w:after="120"/>
        <w:ind w:left="714" w:hanging="357"/>
        <w:jc w:val="both"/>
        <w:rPr>
          <w:b/>
          <w:sz w:val="24"/>
          <w:szCs w:val="24"/>
          <w:u w:val="single"/>
          <w:lang w:val="fr-FR"/>
        </w:rPr>
      </w:pPr>
      <w:r w:rsidRPr="00DF47E1">
        <w:rPr>
          <w:b/>
          <w:sz w:val="24"/>
          <w:szCs w:val="24"/>
          <w:u w:val="single"/>
          <w:lang w:val="fr-FR"/>
        </w:rPr>
        <w:t>Expiration du protocole</w:t>
      </w:r>
    </w:p>
    <w:p w14:paraId="4B8B8716" w14:textId="2E2C3020" w:rsidR="005F335B" w:rsidRDefault="00372BFB" w:rsidP="001236C4">
      <w:pPr>
        <w:pStyle w:val="MediumList2-Accent41"/>
        <w:spacing w:after="120"/>
        <w:ind w:left="0"/>
        <w:contextualSpacing w:val="0"/>
        <w:jc w:val="both"/>
        <w:rPr>
          <w:sz w:val="24"/>
          <w:szCs w:val="24"/>
          <w:lang w:val="en-US"/>
        </w:rPr>
      </w:pPr>
      <w:r w:rsidRPr="00DF47E1">
        <w:rPr>
          <w:rFonts w:eastAsia="Times New Roman"/>
          <w:sz w:val="24"/>
          <w:szCs w:val="24"/>
          <w:lang w:val="fr-FR"/>
        </w:rPr>
        <w:t xml:space="preserve">Le protocole et les annexes y relatifs seront applicables à compter de la date de signature. Une évaluation de sa mise en œuvre sera effectuée par </w:t>
      </w:r>
      <w:r w:rsidRPr="00DF47E1">
        <w:rPr>
          <w:rStyle w:val="gmail-"/>
          <w:rFonts w:eastAsia="Times New Roman"/>
          <w:sz w:val="24"/>
          <w:szCs w:val="24"/>
          <w:lang w:val="fr-FR"/>
        </w:rPr>
        <w:t>la Task Force humanitaire sur les EAS</w:t>
      </w:r>
      <w:r w:rsidRPr="00DF47E1">
        <w:rPr>
          <w:rFonts w:eastAsia="Times New Roman"/>
          <w:sz w:val="24"/>
          <w:szCs w:val="24"/>
          <w:lang w:val="fr-FR"/>
        </w:rPr>
        <w:t xml:space="preserve"> après un an et les ajustements nécessaires inclus dans une version révisée. Si aucun ajustement n'est nécessaire, le protocole demeurera applicable.</w:t>
      </w:r>
    </w:p>
    <w:p w14:paraId="72D0D397" w14:textId="41009DD0" w:rsidR="005F335B" w:rsidRPr="00973EC3" w:rsidRDefault="005F335B" w:rsidP="00614888">
      <w:pPr>
        <w:pStyle w:val="MediumList2-Accent41"/>
        <w:spacing w:afterLines="80" w:after="192"/>
        <w:ind w:left="0"/>
        <w:jc w:val="both"/>
        <w:rPr>
          <w:sz w:val="24"/>
          <w:szCs w:val="24"/>
        </w:rPr>
        <w:sectPr w:rsidR="005F335B" w:rsidRPr="00973EC3" w:rsidSect="004E4F3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7BCF055E" w14:textId="30A8787C" w:rsidR="00A41012" w:rsidRPr="00973EC3" w:rsidRDefault="00DF5689" w:rsidP="00DF5689">
      <w:pPr>
        <w:pStyle w:val="MediumList2-Accent41"/>
        <w:tabs>
          <w:tab w:val="left" w:pos="6471"/>
        </w:tabs>
        <w:spacing w:afterLines="80" w:after="192"/>
        <w:ind w:left="0"/>
        <w:jc w:val="both"/>
        <w:rPr>
          <w:b/>
          <w:sz w:val="24"/>
          <w:szCs w:val="24"/>
        </w:rPr>
      </w:pPr>
      <w:r w:rsidRPr="00DF47E1">
        <w:rPr>
          <w:b/>
          <w:sz w:val="24"/>
          <w:szCs w:val="24"/>
          <w:lang w:val="fr-FR"/>
        </w:rPr>
        <w:lastRenderedPageBreak/>
        <w:t>Fonctions et responsabilités des entités respectives</w:t>
      </w:r>
      <w:r w:rsidR="002A1E6B" w:rsidRPr="00973EC3">
        <w:rPr>
          <w:b/>
          <w:sz w:val="24"/>
          <w:szCs w:val="24"/>
        </w:rPr>
        <w:t>:</w:t>
      </w:r>
      <w:r w:rsidR="00381578" w:rsidRPr="00973EC3">
        <w:rPr>
          <w:b/>
          <w:sz w:val="24"/>
          <w:szCs w:val="24"/>
        </w:rPr>
        <w:tab/>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2324"/>
      </w:tblGrid>
      <w:tr w:rsidR="00DF5689" w:rsidRPr="00DF47E1" w14:paraId="43EB9367" w14:textId="77777777" w:rsidTr="00EC188E">
        <w:tc>
          <w:tcPr>
            <w:tcW w:w="1818" w:type="dxa"/>
            <w:shd w:val="clear" w:color="auto" w:fill="D9D9D9"/>
          </w:tcPr>
          <w:p w14:paraId="640AE4CC" w14:textId="77777777" w:rsidR="00DF5689" w:rsidRPr="00DF47E1" w:rsidRDefault="00DF5689" w:rsidP="00EC188E">
            <w:pPr>
              <w:pStyle w:val="LightGrid-Accent31"/>
              <w:ind w:left="0"/>
              <w:jc w:val="both"/>
              <w:rPr>
                <w:b/>
                <w:sz w:val="24"/>
                <w:szCs w:val="24"/>
                <w:lang w:val="fr-FR"/>
              </w:rPr>
            </w:pPr>
            <w:r w:rsidRPr="00DF47E1">
              <w:rPr>
                <w:b/>
                <w:sz w:val="24"/>
                <w:szCs w:val="24"/>
                <w:lang w:val="fr-FR"/>
              </w:rPr>
              <w:t>CDT</w:t>
            </w:r>
          </w:p>
        </w:tc>
        <w:tc>
          <w:tcPr>
            <w:tcW w:w="12324" w:type="dxa"/>
            <w:shd w:val="clear" w:color="auto" w:fill="auto"/>
          </w:tcPr>
          <w:p w14:paraId="10F851B6" w14:textId="77777777" w:rsidR="00DF5689" w:rsidRPr="00DF47E1" w:rsidRDefault="00DF5689" w:rsidP="00EC188E">
            <w:pPr>
              <w:pStyle w:val="LightGrid-Accent31"/>
              <w:numPr>
                <w:ilvl w:val="0"/>
                <w:numId w:val="7"/>
              </w:numPr>
              <w:ind w:left="367" w:hanging="357"/>
              <w:contextualSpacing/>
              <w:jc w:val="both"/>
              <w:rPr>
                <w:sz w:val="24"/>
                <w:szCs w:val="24"/>
                <w:lang w:val="fr-FR"/>
              </w:rPr>
            </w:pPr>
            <w:r w:rsidRPr="00DF47E1">
              <w:rPr>
                <w:sz w:val="24"/>
                <w:szCs w:val="24"/>
                <w:lang w:val="fr-FR"/>
              </w:rPr>
              <w:t xml:space="preserve">Fournir des orientations et conseils sur les processus et procédures relatifs aux actes d’EAS et toutes les formes de fautes de conduite présumées. </w:t>
            </w:r>
          </w:p>
          <w:p w14:paraId="2163604D" w14:textId="77777777" w:rsidR="00DF5689" w:rsidRPr="00DF47E1" w:rsidRDefault="00DF5689" w:rsidP="00EC188E">
            <w:pPr>
              <w:pStyle w:val="LightGrid-Accent31"/>
              <w:numPr>
                <w:ilvl w:val="0"/>
                <w:numId w:val="7"/>
              </w:numPr>
              <w:ind w:left="367" w:hanging="357"/>
              <w:contextualSpacing/>
              <w:jc w:val="both"/>
              <w:rPr>
                <w:sz w:val="24"/>
                <w:szCs w:val="24"/>
                <w:lang w:val="fr-FR"/>
              </w:rPr>
            </w:pPr>
            <w:r w:rsidRPr="00DF47E1">
              <w:rPr>
                <w:sz w:val="24"/>
                <w:szCs w:val="24"/>
                <w:lang w:val="fr-FR"/>
              </w:rPr>
              <w:t>Mener des activités de prévention et de sensibilisation à travers la diffusion d’information et la formation de tout le personnel de la mission des Nations Unies.</w:t>
            </w:r>
          </w:p>
          <w:p w14:paraId="7C7231C0" w14:textId="77777777" w:rsidR="00DF5689" w:rsidRPr="00DF47E1" w:rsidRDefault="00DF5689" w:rsidP="00EC188E">
            <w:pPr>
              <w:pStyle w:val="LightGrid-Accent31"/>
              <w:numPr>
                <w:ilvl w:val="0"/>
                <w:numId w:val="7"/>
              </w:numPr>
              <w:ind w:left="367" w:hanging="357"/>
              <w:contextualSpacing/>
              <w:jc w:val="both"/>
              <w:rPr>
                <w:sz w:val="24"/>
                <w:szCs w:val="24"/>
                <w:lang w:val="fr-FR"/>
              </w:rPr>
            </w:pPr>
            <w:r w:rsidRPr="00DF47E1">
              <w:rPr>
                <w:sz w:val="24"/>
                <w:szCs w:val="24"/>
                <w:lang w:val="fr-FR"/>
              </w:rPr>
              <w:t xml:space="preserve">Evaluer les cas relatif aux présumés auteurs travaillant ou ayant travaillé pour la mission en termes de preuves crédibles et/ou </w:t>
            </w:r>
            <w:r w:rsidRPr="00DF47E1">
              <w:rPr>
                <w:i/>
                <w:sz w:val="24"/>
                <w:szCs w:val="24"/>
                <w:lang w:val="fr-FR"/>
              </w:rPr>
              <w:t xml:space="preserve">prima facile, </w:t>
            </w:r>
            <w:r w:rsidRPr="00DF47E1">
              <w:rPr>
                <w:sz w:val="24"/>
                <w:szCs w:val="24"/>
                <w:lang w:val="fr-FR"/>
              </w:rPr>
              <w:t xml:space="preserve">les renvoyant à SIU ou OIOS et informant le Département du Secrétariat des UN pour l’appui au terrain (DFS) pour d’autres mesures avec les missions permanentes respectives. CDT propose également des mesures une fois l’investigation terminée. </w:t>
            </w:r>
          </w:p>
        </w:tc>
      </w:tr>
      <w:tr w:rsidR="00DF5689" w:rsidRPr="00DF47E1" w14:paraId="3F58D051" w14:textId="77777777" w:rsidTr="00EC188E">
        <w:tc>
          <w:tcPr>
            <w:tcW w:w="1818" w:type="dxa"/>
            <w:shd w:val="clear" w:color="auto" w:fill="D9D9D9"/>
          </w:tcPr>
          <w:p w14:paraId="3F82AB9D" w14:textId="77777777" w:rsidR="00DF5689" w:rsidRPr="00DF47E1" w:rsidRDefault="00DF5689" w:rsidP="00EC188E">
            <w:pPr>
              <w:pStyle w:val="LightGrid-Accent31"/>
              <w:ind w:left="0"/>
              <w:jc w:val="both"/>
              <w:rPr>
                <w:b/>
                <w:sz w:val="24"/>
                <w:szCs w:val="24"/>
                <w:lang w:val="fr-FR"/>
              </w:rPr>
            </w:pPr>
            <w:r w:rsidRPr="00DF47E1">
              <w:rPr>
                <w:b/>
                <w:sz w:val="24"/>
                <w:szCs w:val="24"/>
                <w:lang w:val="fr-FR"/>
              </w:rPr>
              <w:t>OIOS</w:t>
            </w:r>
          </w:p>
        </w:tc>
        <w:tc>
          <w:tcPr>
            <w:tcW w:w="12324" w:type="dxa"/>
            <w:shd w:val="clear" w:color="auto" w:fill="auto"/>
          </w:tcPr>
          <w:p w14:paraId="12FE6DAB" w14:textId="77777777" w:rsidR="00DF5689" w:rsidRPr="00DF47E1" w:rsidRDefault="00DF5689" w:rsidP="00EC188E">
            <w:pPr>
              <w:pStyle w:val="LightGrid-Accent31"/>
              <w:numPr>
                <w:ilvl w:val="0"/>
                <w:numId w:val="13"/>
              </w:numPr>
              <w:ind w:left="367" w:hanging="357"/>
              <w:contextualSpacing/>
              <w:jc w:val="both"/>
              <w:rPr>
                <w:sz w:val="24"/>
                <w:szCs w:val="24"/>
                <w:lang w:val="fr-FR"/>
              </w:rPr>
            </w:pPr>
            <w:r w:rsidRPr="00DF47E1">
              <w:rPr>
                <w:sz w:val="24"/>
                <w:szCs w:val="24"/>
                <w:lang w:val="fr-FR"/>
              </w:rPr>
              <w:t xml:space="preserve">Dispose de la responsabilité première des investigations de fautes de conduite, y compris l’exploitation et les abus sexuels, tel que mandaté par l’Assemblée Générale. </w:t>
            </w:r>
          </w:p>
          <w:p w14:paraId="45C20579" w14:textId="77777777" w:rsidR="00DF5689" w:rsidRPr="00DF47E1" w:rsidRDefault="00DF5689" w:rsidP="00EC188E">
            <w:pPr>
              <w:pStyle w:val="LightGrid-Accent31"/>
              <w:numPr>
                <w:ilvl w:val="0"/>
                <w:numId w:val="13"/>
              </w:numPr>
              <w:ind w:left="367" w:hanging="357"/>
              <w:contextualSpacing/>
              <w:jc w:val="both"/>
              <w:rPr>
                <w:sz w:val="24"/>
                <w:szCs w:val="24"/>
                <w:lang w:val="fr-FR"/>
              </w:rPr>
            </w:pPr>
            <w:r w:rsidRPr="00DF47E1">
              <w:rPr>
                <w:sz w:val="24"/>
                <w:szCs w:val="24"/>
                <w:lang w:val="fr-FR"/>
              </w:rPr>
              <w:t>Déléguer certaines investigations; ce sur quoi OIOS enquêtera est déterminé par OIOS lui-même, et est basé sur sa catégorisation des infractions.</w:t>
            </w:r>
          </w:p>
        </w:tc>
      </w:tr>
      <w:tr w:rsidR="00DF5689" w:rsidRPr="00DF47E1" w14:paraId="0265A679" w14:textId="77777777" w:rsidTr="00EC188E">
        <w:tc>
          <w:tcPr>
            <w:tcW w:w="1818" w:type="dxa"/>
            <w:shd w:val="clear" w:color="auto" w:fill="D9D9D9"/>
          </w:tcPr>
          <w:p w14:paraId="4D3C99B4" w14:textId="77777777" w:rsidR="00DF5689" w:rsidRPr="00DF47E1" w:rsidRDefault="00DF5689" w:rsidP="00EC188E">
            <w:pPr>
              <w:pStyle w:val="LightGrid-Accent31"/>
              <w:ind w:left="0"/>
              <w:jc w:val="both"/>
              <w:rPr>
                <w:b/>
                <w:sz w:val="24"/>
                <w:szCs w:val="24"/>
                <w:lang w:val="fr-FR"/>
              </w:rPr>
            </w:pPr>
            <w:r w:rsidRPr="00DF47E1">
              <w:rPr>
                <w:b/>
                <w:sz w:val="24"/>
                <w:szCs w:val="24"/>
                <w:lang w:val="fr-FR"/>
              </w:rPr>
              <w:t>Task Force Stratégique et de haut niveau sur les EAS</w:t>
            </w:r>
            <w:r w:rsidRPr="00DF47E1">
              <w:rPr>
                <w:rStyle w:val="FootnoteReference"/>
                <w:b/>
                <w:sz w:val="24"/>
                <w:szCs w:val="24"/>
                <w:lang w:val="fr-FR"/>
              </w:rPr>
              <w:footnoteReference w:id="9"/>
            </w:r>
          </w:p>
        </w:tc>
        <w:tc>
          <w:tcPr>
            <w:tcW w:w="12324" w:type="dxa"/>
            <w:shd w:val="clear" w:color="auto" w:fill="auto"/>
          </w:tcPr>
          <w:p w14:paraId="28E165E9" w14:textId="77777777" w:rsidR="00DF5689" w:rsidRPr="00DF47E1" w:rsidRDefault="00DF5689" w:rsidP="00EC188E">
            <w:pPr>
              <w:pStyle w:val="LightGrid-Accent31"/>
              <w:numPr>
                <w:ilvl w:val="0"/>
                <w:numId w:val="14"/>
              </w:numPr>
              <w:ind w:left="367" w:hanging="357"/>
              <w:contextualSpacing/>
              <w:jc w:val="both"/>
              <w:rPr>
                <w:bCs/>
                <w:sz w:val="24"/>
                <w:szCs w:val="24"/>
                <w:lang w:val="fr-FR"/>
              </w:rPr>
            </w:pPr>
            <w:r w:rsidRPr="00DF47E1">
              <w:rPr>
                <w:bCs/>
                <w:sz w:val="24"/>
                <w:szCs w:val="24"/>
                <w:lang w:val="fr-FR"/>
              </w:rPr>
              <w:t xml:space="preserve">Orienter les activités de la Mission et d’UNCT en RCA sur la prévention, sensibilisation, assistance aux victimes et la réponse aux allégations d’EAS par le personnel des Nations Unies et les Forces de sécurité internationales non Nations Unies en RCA. </w:t>
            </w:r>
          </w:p>
          <w:p w14:paraId="6A0F551D" w14:textId="77777777" w:rsidR="00DF5689" w:rsidRPr="00DF47E1" w:rsidRDefault="00DF5689" w:rsidP="00EC188E">
            <w:pPr>
              <w:pStyle w:val="LightGrid-Accent31"/>
              <w:numPr>
                <w:ilvl w:val="0"/>
                <w:numId w:val="14"/>
              </w:numPr>
              <w:ind w:left="367" w:hanging="357"/>
              <w:contextualSpacing/>
              <w:jc w:val="both"/>
              <w:rPr>
                <w:bCs/>
                <w:sz w:val="24"/>
                <w:szCs w:val="24"/>
                <w:lang w:val="fr-FR"/>
              </w:rPr>
            </w:pPr>
            <w:r w:rsidRPr="00DF47E1">
              <w:rPr>
                <w:bCs/>
                <w:sz w:val="24"/>
                <w:szCs w:val="24"/>
                <w:lang w:val="fr-FR"/>
              </w:rPr>
              <w:t>Fournit un forum de partage d’informations</w:t>
            </w:r>
            <w:r w:rsidRPr="00DF47E1">
              <w:rPr>
                <w:sz w:val="24"/>
                <w:szCs w:val="24"/>
                <w:lang w:val="fr-FR"/>
              </w:rPr>
              <w:t xml:space="preserve"> et de discussions stratégiques entre les entités pertinentes </w:t>
            </w:r>
            <w:r w:rsidRPr="00DF47E1">
              <w:rPr>
                <w:bCs/>
                <w:sz w:val="24"/>
                <w:szCs w:val="24"/>
                <w:lang w:val="fr-FR"/>
              </w:rPr>
              <w:t xml:space="preserve">des Nations Unies </w:t>
            </w:r>
            <w:r w:rsidRPr="00DF47E1">
              <w:rPr>
                <w:sz w:val="24"/>
                <w:szCs w:val="24"/>
                <w:lang w:val="fr-FR"/>
              </w:rPr>
              <w:t xml:space="preserve">impliquées dans la réponse aux EAS et s’assurer qu’un suivi rapide et approprié est entrepris par l’entité du système UN concernée, tout en respectant les principes énoncés ci-dessus. </w:t>
            </w:r>
          </w:p>
          <w:p w14:paraId="69411F96" w14:textId="77777777" w:rsidR="00DF5689" w:rsidRPr="00DF47E1" w:rsidRDefault="00DF5689" w:rsidP="00EC188E">
            <w:pPr>
              <w:pStyle w:val="LightGrid-Accent31"/>
              <w:numPr>
                <w:ilvl w:val="0"/>
                <w:numId w:val="14"/>
              </w:numPr>
              <w:ind w:left="367" w:hanging="357"/>
              <w:contextualSpacing/>
              <w:jc w:val="both"/>
              <w:rPr>
                <w:bCs/>
                <w:sz w:val="24"/>
                <w:szCs w:val="24"/>
                <w:lang w:val="fr-FR"/>
              </w:rPr>
            </w:pPr>
            <w:r w:rsidRPr="00DF47E1">
              <w:rPr>
                <w:bCs/>
                <w:sz w:val="24"/>
                <w:szCs w:val="24"/>
                <w:lang w:val="fr-FR"/>
              </w:rPr>
              <w:t>Partager les informations générales concernant les tendances, les efforts de prévention et de réponse des membres de la Task Force. Il doit être not</w:t>
            </w:r>
            <w:r w:rsidRPr="00DF47E1">
              <w:rPr>
                <w:sz w:val="24"/>
                <w:szCs w:val="24"/>
                <w:lang w:val="fr-FR"/>
              </w:rPr>
              <w:t>é</w:t>
            </w:r>
            <w:r w:rsidRPr="00DF47E1">
              <w:rPr>
                <w:bCs/>
                <w:sz w:val="24"/>
                <w:szCs w:val="24"/>
                <w:lang w:val="fr-FR"/>
              </w:rPr>
              <w:t xml:space="preserve">, cependant, que la Task Force </w:t>
            </w:r>
            <w:r w:rsidRPr="00DF47E1">
              <w:rPr>
                <w:b/>
                <w:bCs/>
                <w:sz w:val="24"/>
                <w:szCs w:val="24"/>
                <w:u w:val="single"/>
                <w:lang w:val="fr-FR"/>
              </w:rPr>
              <w:t>n’est pas</w:t>
            </w:r>
            <w:r w:rsidRPr="00DF47E1">
              <w:rPr>
                <w:bCs/>
                <w:sz w:val="24"/>
                <w:szCs w:val="24"/>
                <w:lang w:val="fr-FR"/>
              </w:rPr>
              <w:t xml:space="preserve"> un forum de discussion des cas individuels.</w:t>
            </w:r>
          </w:p>
        </w:tc>
      </w:tr>
      <w:tr w:rsidR="00DF5689" w:rsidRPr="00DF47E1" w14:paraId="1B1B43C9" w14:textId="77777777" w:rsidTr="00EC188E">
        <w:tc>
          <w:tcPr>
            <w:tcW w:w="1818" w:type="dxa"/>
            <w:shd w:val="clear" w:color="auto" w:fill="D9D9D9"/>
          </w:tcPr>
          <w:p w14:paraId="10B00F6E" w14:textId="77777777" w:rsidR="00DF5689" w:rsidRPr="00DF47E1" w:rsidDel="0066346A" w:rsidRDefault="00DF5689" w:rsidP="00EC188E">
            <w:pPr>
              <w:pStyle w:val="LightGrid-Accent31"/>
              <w:ind w:left="0"/>
              <w:jc w:val="both"/>
              <w:rPr>
                <w:b/>
                <w:sz w:val="24"/>
                <w:szCs w:val="24"/>
                <w:lang w:val="fr-FR"/>
              </w:rPr>
            </w:pPr>
            <w:r w:rsidRPr="00DF47E1">
              <w:rPr>
                <w:b/>
                <w:sz w:val="24"/>
                <w:szCs w:val="24"/>
                <w:lang w:val="fr-FR"/>
              </w:rPr>
              <w:lastRenderedPageBreak/>
              <w:t>Réseau humanitaire EAS</w:t>
            </w:r>
            <w:r w:rsidRPr="00DF47E1">
              <w:rPr>
                <w:rStyle w:val="FootnoteReference"/>
                <w:b/>
                <w:sz w:val="24"/>
                <w:szCs w:val="24"/>
                <w:lang w:val="fr-FR"/>
              </w:rPr>
              <w:footnoteReference w:id="10"/>
            </w:r>
          </w:p>
        </w:tc>
        <w:tc>
          <w:tcPr>
            <w:tcW w:w="12324" w:type="dxa"/>
            <w:shd w:val="clear" w:color="auto" w:fill="auto"/>
          </w:tcPr>
          <w:p w14:paraId="4D4CAD87" w14:textId="77777777" w:rsidR="00DF5689" w:rsidRPr="00DF47E1" w:rsidRDefault="00DF5689" w:rsidP="00EC188E">
            <w:pPr>
              <w:pStyle w:val="LightGrid-Accent31"/>
              <w:numPr>
                <w:ilvl w:val="0"/>
                <w:numId w:val="14"/>
              </w:numPr>
              <w:ind w:left="367" w:hanging="357"/>
              <w:contextualSpacing/>
              <w:jc w:val="both"/>
              <w:rPr>
                <w:bCs/>
                <w:sz w:val="24"/>
                <w:szCs w:val="24"/>
                <w:lang w:val="fr-FR"/>
              </w:rPr>
            </w:pPr>
            <w:r w:rsidRPr="00DF47E1">
              <w:rPr>
                <w:bCs/>
                <w:sz w:val="24"/>
                <w:szCs w:val="24"/>
                <w:lang w:val="fr-FR"/>
              </w:rPr>
              <w:t>Veiller à ce que chaque entité dispose d'une procédure d'investigation interne efficace et efficiente</w:t>
            </w:r>
          </w:p>
          <w:p w14:paraId="11A9F83A" w14:textId="77777777" w:rsidR="00DF5689" w:rsidRPr="00DF47E1" w:rsidRDefault="00DF5689" w:rsidP="00EC188E">
            <w:pPr>
              <w:pStyle w:val="LightGrid-Accent31"/>
              <w:numPr>
                <w:ilvl w:val="0"/>
                <w:numId w:val="14"/>
              </w:numPr>
              <w:ind w:left="367" w:hanging="357"/>
              <w:contextualSpacing/>
              <w:jc w:val="both"/>
              <w:rPr>
                <w:bCs/>
                <w:sz w:val="24"/>
                <w:szCs w:val="24"/>
                <w:lang w:val="fr-FR"/>
              </w:rPr>
            </w:pPr>
            <w:r w:rsidRPr="00DF47E1">
              <w:rPr>
                <w:bCs/>
                <w:sz w:val="24"/>
                <w:szCs w:val="24"/>
                <w:lang w:val="fr-FR"/>
              </w:rPr>
              <w:t>Veiller à l'élaboration d'un plan d'action commun pour la prévention et l'intervention en matière d'EAS, y compris en ce qui concerne la fourniture d'une assistance aux victimes.</w:t>
            </w:r>
          </w:p>
          <w:p w14:paraId="40A476ED" w14:textId="77777777" w:rsidR="00DF5689" w:rsidRPr="00DF47E1" w:rsidRDefault="00DF5689" w:rsidP="00EC188E">
            <w:pPr>
              <w:pStyle w:val="LightGrid-Accent31"/>
              <w:numPr>
                <w:ilvl w:val="0"/>
                <w:numId w:val="14"/>
              </w:numPr>
              <w:ind w:left="367" w:hanging="357"/>
              <w:contextualSpacing/>
              <w:jc w:val="both"/>
              <w:rPr>
                <w:bCs/>
                <w:sz w:val="24"/>
                <w:szCs w:val="24"/>
                <w:lang w:val="fr-FR"/>
              </w:rPr>
            </w:pPr>
            <w:r w:rsidRPr="00DF47E1">
              <w:rPr>
                <w:bCs/>
                <w:sz w:val="24"/>
                <w:szCs w:val="24"/>
                <w:lang w:val="fr-FR"/>
              </w:rPr>
              <w:t>S'assurer que chaque entité a un code de conduite couvrant l'EAS</w:t>
            </w:r>
          </w:p>
          <w:p w14:paraId="0073423C" w14:textId="77777777" w:rsidR="00DF5689" w:rsidRPr="00DF47E1" w:rsidRDefault="00DF5689" w:rsidP="00EC188E">
            <w:pPr>
              <w:pStyle w:val="LightGrid-Accent31"/>
              <w:numPr>
                <w:ilvl w:val="0"/>
                <w:numId w:val="14"/>
              </w:numPr>
              <w:ind w:left="367" w:hanging="357"/>
              <w:contextualSpacing/>
              <w:jc w:val="both"/>
              <w:rPr>
                <w:bCs/>
                <w:sz w:val="24"/>
                <w:szCs w:val="24"/>
                <w:lang w:val="fr-FR"/>
              </w:rPr>
            </w:pPr>
            <w:r w:rsidRPr="00DF47E1">
              <w:rPr>
                <w:bCs/>
                <w:sz w:val="24"/>
                <w:szCs w:val="24"/>
                <w:lang w:val="fr-FR"/>
              </w:rPr>
              <w:t>Organiser des campagnes d’information et de sensibilisation sur l'EAS</w:t>
            </w:r>
          </w:p>
          <w:p w14:paraId="60C0ACFF" w14:textId="77777777" w:rsidR="00DF5689" w:rsidRPr="00DF47E1" w:rsidRDefault="00DF5689" w:rsidP="00EC188E">
            <w:pPr>
              <w:pStyle w:val="LightGrid-Accent31"/>
              <w:numPr>
                <w:ilvl w:val="0"/>
                <w:numId w:val="14"/>
              </w:numPr>
              <w:ind w:left="367" w:hanging="357"/>
              <w:contextualSpacing/>
              <w:jc w:val="both"/>
              <w:rPr>
                <w:bCs/>
                <w:sz w:val="24"/>
                <w:szCs w:val="24"/>
                <w:lang w:val="fr-FR"/>
              </w:rPr>
            </w:pPr>
            <w:r w:rsidRPr="00DF47E1">
              <w:rPr>
                <w:bCs/>
                <w:sz w:val="24"/>
                <w:szCs w:val="24"/>
                <w:lang w:val="fr-FR"/>
              </w:rPr>
              <w:t>Etablir un mécanisme de plainte sécurisé, accessible et confidentiel qui engage les personnes concernées et les populations locales.</w:t>
            </w:r>
          </w:p>
          <w:p w14:paraId="5AB98B20" w14:textId="77777777" w:rsidR="00DF5689" w:rsidRPr="00DF47E1" w:rsidRDefault="00DF5689" w:rsidP="00EC188E">
            <w:pPr>
              <w:pStyle w:val="LightGrid-Accent31"/>
              <w:numPr>
                <w:ilvl w:val="0"/>
                <w:numId w:val="14"/>
              </w:numPr>
              <w:ind w:left="367" w:hanging="357"/>
              <w:contextualSpacing/>
              <w:jc w:val="both"/>
              <w:rPr>
                <w:bCs/>
                <w:sz w:val="24"/>
                <w:szCs w:val="24"/>
                <w:lang w:val="fr-FR"/>
              </w:rPr>
            </w:pPr>
            <w:r w:rsidRPr="00DF47E1">
              <w:rPr>
                <w:bCs/>
                <w:sz w:val="24"/>
                <w:szCs w:val="24"/>
                <w:lang w:val="fr-FR"/>
              </w:rPr>
              <w:t>Partager des informations générales sur les tendances, la prévention et les efforts de réponse avec les membres du réseau. Il convient toutefois de noter que le réseau EAS n'est pas un forum pour discuter de cas individuels.</w:t>
            </w:r>
          </w:p>
        </w:tc>
      </w:tr>
      <w:tr w:rsidR="00DF5689" w:rsidRPr="00DF47E1" w14:paraId="53795365" w14:textId="77777777" w:rsidTr="00EC188E">
        <w:tc>
          <w:tcPr>
            <w:tcW w:w="1818" w:type="dxa"/>
            <w:shd w:val="clear" w:color="auto" w:fill="D9D9D9"/>
          </w:tcPr>
          <w:p w14:paraId="000444D9" w14:textId="77777777" w:rsidR="00DF5689" w:rsidRPr="00DF47E1" w:rsidRDefault="00DF5689" w:rsidP="00EC188E">
            <w:pPr>
              <w:pStyle w:val="LightGrid-Accent31"/>
              <w:ind w:left="0"/>
              <w:jc w:val="both"/>
              <w:rPr>
                <w:b/>
                <w:sz w:val="24"/>
                <w:szCs w:val="24"/>
                <w:lang w:val="fr-FR"/>
              </w:rPr>
            </w:pPr>
            <w:r w:rsidRPr="00DF47E1">
              <w:rPr>
                <w:b/>
                <w:sz w:val="24"/>
                <w:szCs w:val="24"/>
                <w:lang w:val="fr-FR"/>
              </w:rPr>
              <w:t>Task Force humanitaire EAS</w:t>
            </w:r>
            <w:r w:rsidRPr="00DF47E1">
              <w:rPr>
                <w:rStyle w:val="FootnoteReference"/>
                <w:b/>
                <w:sz w:val="24"/>
                <w:szCs w:val="24"/>
                <w:lang w:val="fr-FR"/>
              </w:rPr>
              <w:footnoteReference w:id="11"/>
            </w:r>
          </w:p>
        </w:tc>
        <w:tc>
          <w:tcPr>
            <w:tcW w:w="12324" w:type="dxa"/>
            <w:shd w:val="clear" w:color="auto" w:fill="auto"/>
          </w:tcPr>
          <w:p w14:paraId="3ED1EF9B" w14:textId="77777777" w:rsidR="00DF5689" w:rsidRPr="00DF47E1" w:rsidRDefault="00DF5689" w:rsidP="00EC188E">
            <w:pPr>
              <w:pStyle w:val="LightGrid-Accent31"/>
              <w:numPr>
                <w:ilvl w:val="0"/>
                <w:numId w:val="14"/>
              </w:numPr>
              <w:ind w:left="367" w:hanging="357"/>
              <w:contextualSpacing/>
              <w:jc w:val="both"/>
              <w:rPr>
                <w:bCs/>
                <w:sz w:val="24"/>
                <w:szCs w:val="24"/>
                <w:lang w:val="fr-FR"/>
              </w:rPr>
            </w:pPr>
            <w:r w:rsidRPr="00DF47E1">
              <w:rPr>
                <w:bCs/>
                <w:sz w:val="24"/>
                <w:szCs w:val="24"/>
                <w:lang w:val="fr-FR"/>
              </w:rPr>
              <w:t>Assurer la coordination stratégique et technique du réseau humanitaire EAS</w:t>
            </w:r>
          </w:p>
          <w:p w14:paraId="16E1DEAF" w14:textId="77777777" w:rsidR="00DF5689" w:rsidRPr="00DF47E1" w:rsidRDefault="00DF5689" w:rsidP="00EC188E">
            <w:pPr>
              <w:pStyle w:val="LightGrid-Accent31"/>
              <w:numPr>
                <w:ilvl w:val="0"/>
                <w:numId w:val="14"/>
              </w:numPr>
              <w:ind w:left="367" w:hanging="357"/>
              <w:contextualSpacing/>
              <w:jc w:val="both"/>
              <w:rPr>
                <w:bCs/>
                <w:sz w:val="24"/>
                <w:szCs w:val="24"/>
                <w:lang w:val="fr-FR"/>
              </w:rPr>
            </w:pPr>
            <w:r w:rsidRPr="00DF47E1">
              <w:rPr>
                <w:bCs/>
                <w:sz w:val="24"/>
                <w:szCs w:val="24"/>
                <w:lang w:val="fr-FR"/>
              </w:rPr>
              <w:t xml:space="preserve">Fournir une assistance et un soutien aux entités en ce qui concerne les EAS, en cas de faibles capacités internes. </w:t>
            </w:r>
          </w:p>
          <w:p w14:paraId="7228AAF3" w14:textId="77777777" w:rsidR="00DF5689" w:rsidRPr="00DF47E1" w:rsidRDefault="00DF5689" w:rsidP="00EC188E">
            <w:pPr>
              <w:pStyle w:val="LightGrid-Accent31"/>
              <w:numPr>
                <w:ilvl w:val="0"/>
                <w:numId w:val="14"/>
              </w:numPr>
              <w:ind w:left="367" w:hanging="357"/>
              <w:contextualSpacing/>
              <w:jc w:val="both"/>
              <w:rPr>
                <w:bCs/>
                <w:sz w:val="24"/>
                <w:szCs w:val="24"/>
                <w:lang w:val="fr-FR"/>
              </w:rPr>
            </w:pPr>
            <w:r w:rsidRPr="00DF47E1">
              <w:rPr>
                <w:bCs/>
                <w:sz w:val="24"/>
                <w:szCs w:val="24"/>
                <w:lang w:val="fr-FR"/>
              </w:rPr>
              <w:t>Organiser des formations régulières sur les EAS à la communauté humanitaire</w:t>
            </w:r>
          </w:p>
          <w:p w14:paraId="1D332224" w14:textId="77777777" w:rsidR="00DF5689" w:rsidRPr="00DF47E1" w:rsidRDefault="00DF5689" w:rsidP="00EC188E">
            <w:pPr>
              <w:pStyle w:val="LightGrid-Accent31"/>
              <w:numPr>
                <w:ilvl w:val="0"/>
                <w:numId w:val="14"/>
              </w:numPr>
              <w:ind w:left="367" w:hanging="357"/>
              <w:contextualSpacing/>
              <w:jc w:val="both"/>
              <w:rPr>
                <w:bCs/>
                <w:sz w:val="24"/>
                <w:szCs w:val="24"/>
                <w:lang w:val="fr-FR"/>
              </w:rPr>
            </w:pPr>
            <w:r w:rsidRPr="00DF47E1">
              <w:rPr>
                <w:bCs/>
                <w:sz w:val="24"/>
                <w:szCs w:val="24"/>
                <w:lang w:val="fr-FR"/>
              </w:rPr>
              <w:t>Fournir 4 rapports trimestriels et un rapport annuel sur les EAS au HC-HCT</w:t>
            </w:r>
          </w:p>
          <w:p w14:paraId="4DB18E47" w14:textId="77777777" w:rsidR="00DF5689" w:rsidRPr="00DF47E1" w:rsidRDefault="00DF5689" w:rsidP="00EC188E">
            <w:pPr>
              <w:pStyle w:val="LightGrid-Accent31"/>
              <w:numPr>
                <w:ilvl w:val="0"/>
                <w:numId w:val="14"/>
              </w:numPr>
              <w:ind w:left="367" w:hanging="357"/>
              <w:contextualSpacing/>
              <w:jc w:val="both"/>
              <w:rPr>
                <w:bCs/>
                <w:sz w:val="24"/>
                <w:szCs w:val="24"/>
                <w:lang w:val="fr-FR"/>
              </w:rPr>
            </w:pPr>
            <w:r w:rsidRPr="00DF47E1">
              <w:rPr>
                <w:bCs/>
                <w:sz w:val="24"/>
                <w:szCs w:val="24"/>
                <w:lang w:val="fr-FR"/>
              </w:rPr>
              <w:t>Surveiller les plaintes et les résultats en cours</w:t>
            </w:r>
          </w:p>
          <w:p w14:paraId="2FAC1369" w14:textId="0A8D8C47" w:rsidR="00DF5689" w:rsidRPr="00DF47E1" w:rsidRDefault="00DF5689" w:rsidP="00EC188E">
            <w:pPr>
              <w:pStyle w:val="LightGrid-Accent31"/>
              <w:numPr>
                <w:ilvl w:val="0"/>
                <w:numId w:val="14"/>
              </w:numPr>
              <w:ind w:left="367" w:hanging="357"/>
              <w:contextualSpacing/>
              <w:jc w:val="both"/>
              <w:rPr>
                <w:bCs/>
                <w:sz w:val="24"/>
                <w:szCs w:val="24"/>
                <w:lang w:val="fr-FR"/>
              </w:rPr>
            </w:pPr>
            <w:r w:rsidRPr="00DF47E1">
              <w:rPr>
                <w:bCs/>
                <w:sz w:val="24"/>
                <w:szCs w:val="24"/>
                <w:lang w:val="fr-FR"/>
              </w:rPr>
              <w:t>Liste de contacts régulièrement mises à jour des points focaux EAS</w:t>
            </w:r>
          </w:p>
          <w:p w14:paraId="77715FE9" w14:textId="77777777" w:rsidR="00DF5689" w:rsidRPr="00DF47E1" w:rsidRDefault="00DF5689" w:rsidP="001301AA">
            <w:pPr>
              <w:pStyle w:val="LightGrid-Accent31"/>
              <w:ind w:left="10"/>
              <w:contextualSpacing/>
              <w:jc w:val="both"/>
              <w:rPr>
                <w:bCs/>
                <w:sz w:val="24"/>
                <w:szCs w:val="24"/>
                <w:lang w:val="fr-FR"/>
              </w:rPr>
            </w:pPr>
            <w:r w:rsidRPr="00DF47E1">
              <w:rPr>
                <w:bCs/>
                <w:sz w:val="24"/>
                <w:szCs w:val="24"/>
                <w:lang w:val="fr-FR"/>
              </w:rPr>
              <w:t>Il convient de noter, cependant, que la Task Force humanitaire EAS n'est pas un forum pour discuter de cas individuels.</w:t>
            </w:r>
          </w:p>
        </w:tc>
      </w:tr>
      <w:tr w:rsidR="00601318" w:rsidRPr="00DF47E1" w14:paraId="24A70E1B" w14:textId="77777777" w:rsidTr="00EC188E">
        <w:tc>
          <w:tcPr>
            <w:tcW w:w="1818" w:type="dxa"/>
            <w:shd w:val="clear" w:color="auto" w:fill="D9D9D9"/>
          </w:tcPr>
          <w:p w14:paraId="39CAB7D3" w14:textId="482CEB9B" w:rsidR="00601318" w:rsidRPr="00DF47E1" w:rsidRDefault="00601318" w:rsidP="00EC188E">
            <w:pPr>
              <w:pStyle w:val="LightGrid-Accent31"/>
              <w:ind w:left="0"/>
              <w:jc w:val="both"/>
              <w:rPr>
                <w:b/>
                <w:sz w:val="24"/>
                <w:szCs w:val="24"/>
                <w:lang w:val="fr-FR"/>
              </w:rPr>
            </w:pPr>
            <w:r>
              <w:rPr>
                <w:b/>
                <w:sz w:val="24"/>
                <w:szCs w:val="24"/>
                <w:lang w:val="fr-FR"/>
              </w:rPr>
              <w:t>Sous Cluster VBG</w:t>
            </w:r>
            <w:r w:rsidR="00541E08">
              <w:rPr>
                <w:b/>
                <w:sz w:val="24"/>
                <w:szCs w:val="24"/>
                <w:lang w:val="fr-FR"/>
              </w:rPr>
              <w:t>, y compris les organisations membres</w:t>
            </w:r>
          </w:p>
        </w:tc>
        <w:tc>
          <w:tcPr>
            <w:tcW w:w="12324" w:type="dxa"/>
            <w:shd w:val="clear" w:color="auto" w:fill="auto"/>
          </w:tcPr>
          <w:p w14:paraId="1F56D39E" w14:textId="77777777" w:rsidR="00601318" w:rsidRDefault="00601318" w:rsidP="001301AA">
            <w:pPr>
              <w:pStyle w:val="LightGrid-Accent31"/>
              <w:numPr>
                <w:ilvl w:val="0"/>
                <w:numId w:val="14"/>
              </w:numPr>
              <w:ind w:left="367" w:hanging="357"/>
              <w:contextualSpacing/>
              <w:jc w:val="both"/>
              <w:rPr>
                <w:bCs/>
                <w:sz w:val="24"/>
                <w:szCs w:val="24"/>
                <w:lang w:val="fr-FR"/>
              </w:rPr>
            </w:pPr>
            <w:r>
              <w:rPr>
                <w:bCs/>
                <w:sz w:val="24"/>
                <w:szCs w:val="24"/>
                <w:lang w:val="fr-FR"/>
              </w:rPr>
              <w:t>Assurer la disponibilité et la diffusion de circuits de référencement des survivantes/victimes ainsi que leur fonctionnalité</w:t>
            </w:r>
          </w:p>
          <w:p w14:paraId="2528B0BF" w14:textId="77777777" w:rsidR="00601318" w:rsidRDefault="002013CB" w:rsidP="001301AA">
            <w:pPr>
              <w:pStyle w:val="LightGrid-Accent31"/>
              <w:numPr>
                <w:ilvl w:val="0"/>
                <w:numId w:val="14"/>
              </w:numPr>
              <w:ind w:left="367" w:hanging="357"/>
              <w:contextualSpacing/>
              <w:jc w:val="both"/>
              <w:rPr>
                <w:bCs/>
                <w:sz w:val="24"/>
                <w:szCs w:val="24"/>
                <w:lang w:val="fr-FR"/>
              </w:rPr>
            </w:pPr>
            <w:r>
              <w:rPr>
                <w:bCs/>
                <w:sz w:val="24"/>
                <w:szCs w:val="24"/>
                <w:lang w:val="fr-FR"/>
              </w:rPr>
              <w:t xml:space="preserve">Faciliter le référencement des cas rapportés indépendamment du processus d’investigation </w:t>
            </w:r>
          </w:p>
          <w:p w14:paraId="516C70B7" w14:textId="77777777" w:rsidR="002013CB" w:rsidRDefault="002013CB" w:rsidP="001301AA">
            <w:pPr>
              <w:pStyle w:val="LightGrid-Accent31"/>
              <w:numPr>
                <w:ilvl w:val="0"/>
                <w:numId w:val="14"/>
              </w:numPr>
              <w:ind w:left="367" w:hanging="357"/>
              <w:contextualSpacing/>
              <w:jc w:val="both"/>
              <w:rPr>
                <w:bCs/>
                <w:sz w:val="24"/>
                <w:szCs w:val="24"/>
                <w:lang w:val="fr-FR"/>
              </w:rPr>
            </w:pPr>
            <w:r>
              <w:rPr>
                <w:bCs/>
                <w:sz w:val="24"/>
                <w:szCs w:val="24"/>
                <w:lang w:val="fr-FR"/>
              </w:rPr>
              <w:t xml:space="preserve">Renforcer les capacités des acteurs VBG </w:t>
            </w:r>
            <w:r w:rsidR="001301AA">
              <w:rPr>
                <w:bCs/>
                <w:sz w:val="24"/>
                <w:szCs w:val="24"/>
                <w:lang w:val="fr-FR"/>
              </w:rPr>
              <w:t>pour</w:t>
            </w:r>
            <w:r>
              <w:rPr>
                <w:bCs/>
                <w:sz w:val="24"/>
                <w:szCs w:val="24"/>
                <w:lang w:val="fr-FR"/>
              </w:rPr>
              <w:t xml:space="preserve"> la prise en compte des spécificités des EAS dans les actions de prévention et de réponse aux VBG</w:t>
            </w:r>
          </w:p>
          <w:p w14:paraId="30FAE81A" w14:textId="154D9608" w:rsidR="00541E08" w:rsidRPr="00DF47E1" w:rsidRDefault="00721391" w:rsidP="00F26FE2">
            <w:pPr>
              <w:pStyle w:val="LightGrid-Accent31"/>
              <w:numPr>
                <w:ilvl w:val="0"/>
                <w:numId w:val="14"/>
              </w:numPr>
              <w:ind w:left="367" w:hanging="357"/>
              <w:contextualSpacing/>
              <w:jc w:val="both"/>
              <w:rPr>
                <w:bCs/>
                <w:sz w:val="24"/>
                <w:szCs w:val="24"/>
                <w:lang w:val="fr-FR"/>
              </w:rPr>
            </w:pPr>
            <w:r>
              <w:rPr>
                <w:bCs/>
                <w:sz w:val="24"/>
                <w:szCs w:val="24"/>
                <w:lang w:val="fr-FR"/>
              </w:rPr>
              <w:t xml:space="preserve">Particulièrement pour les structures d’offre de service, apporter </w:t>
            </w:r>
            <w:r w:rsidR="007A0E11">
              <w:rPr>
                <w:bCs/>
                <w:sz w:val="24"/>
                <w:szCs w:val="24"/>
                <w:lang w:val="fr-FR"/>
              </w:rPr>
              <w:t>l’</w:t>
            </w:r>
            <w:r>
              <w:rPr>
                <w:bCs/>
                <w:sz w:val="24"/>
                <w:szCs w:val="24"/>
                <w:lang w:val="fr-FR"/>
              </w:rPr>
              <w:t xml:space="preserve">assistance aux survivantes/victimes dans le respect </w:t>
            </w:r>
            <w:r>
              <w:rPr>
                <w:bCs/>
                <w:sz w:val="24"/>
                <w:szCs w:val="24"/>
                <w:lang w:val="fr-FR"/>
              </w:rPr>
              <w:lastRenderedPageBreak/>
              <w:t>des principes guidant la gestion de tels cas.</w:t>
            </w:r>
          </w:p>
        </w:tc>
      </w:tr>
      <w:tr w:rsidR="009F28DB" w:rsidRPr="00DF47E1" w14:paraId="3164D082" w14:textId="77777777" w:rsidTr="009F28DB">
        <w:tc>
          <w:tcPr>
            <w:tcW w:w="1818" w:type="dxa"/>
            <w:tcBorders>
              <w:top w:val="single" w:sz="4" w:space="0" w:color="auto"/>
              <w:left w:val="single" w:sz="4" w:space="0" w:color="auto"/>
              <w:bottom w:val="single" w:sz="4" w:space="0" w:color="auto"/>
              <w:right w:val="single" w:sz="4" w:space="0" w:color="auto"/>
            </w:tcBorders>
            <w:shd w:val="clear" w:color="auto" w:fill="D9D9D9"/>
          </w:tcPr>
          <w:p w14:paraId="538D479A" w14:textId="77777777" w:rsidR="009F28DB" w:rsidRPr="00DF47E1" w:rsidRDefault="009F28DB" w:rsidP="006630EB">
            <w:pPr>
              <w:pStyle w:val="LightGrid-Accent31"/>
              <w:ind w:left="0"/>
              <w:jc w:val="both"/>
              <w:rPr>
                <w:b/>
                <w:sz w:val="24"/>
                <w:szCs w:val="24"/>
                <w:lang w:val="fr-FR"/>
              </w:rPr>
            </w:pPr>
          </w:p>
          <w:p w14:paraId="6E00BC01" w14:textId="77777777" w:rsidR="009F28DB" w:rsidRPr="00DF47E1" w:rsidRDefault="009F28DB" w:rsidP="006630EB">
            <w:pPr>
              <w:pStyle w:val="LightGrid-Accent31"/>
              <w:ind w:left="0"/>
              <w:jc w:val="both"/>
              <w:rPr>
                <w:b/>
                <w:sz w:val="24"/>
                <w:szCs w:val="24"/>
                <w:lang w:val="fr-FR"/>
              </w:rPr>
            </w:pPr>
            <w:r w:rsidRPr="00DF47E1">
              <w:rPr>
                <w:b/>
                <w:sz w:val="24"/>
                <w:szCs w:val="24"/>
                <w:lang w:val="fr-FR"/>
              </w:rPr>
              <w:t>MINUSCA,</w:t>
            </w:r>
          </w:p>
          <w:p w14:paraId="2D396322" w14:textId="77777777" w:rsidR="009F28DB" w:rsidRPr="00DF47E1" w:rsidRDefault="009F28DB" w:rsidP="006630EB">
            <w:pPr>
              <w:pStyle w:val="LightGrid-Accent31"/>
              <w:ind w:left="0"/>
              <w:jc w:val="both"/>
              <w:rPr>
                <w:b/>
                <w:sz w:val="24"/>
                <w:szCs w:val="24"/>
                <w:lang w:val="fr-FR"/>
              </w:rPr>
            </w:pPr>
          </w:p>
          <w:p w14:paraId="0D9CD111" w14:textId="77777777" w:rsidR="009F28DB" w:rsidRPr="00DF47E1" w:rsidRDefault="009F28DB" w:rsidP="006630EB">
            <w:pPr>
              <w:pStyle w:val="LightGrid-Accent31"/>
              <w:ind w:left="0"/>
              <w:jc w:val="both"/>
              <w:rPr>
                <w:b/>
                <w:sz w:val="24"/>
                <w:szCs w:val="24"/>
                <w:lang w:val="fr-FR"/>
              </w:rPr>
            </w:pPr>
            <w:r w:rsidRPr="00DF47E1">
              <w:rPr>
                <w:b/>
                <w:sz w:val="24"/>
                <w:szCs w:val="24"/>
                <w:lang w:val="fr-FR"/>
              </w:rPr>
              <w:t>Agences des Nations Unies,</w:t>
            </w:r>
          </w:p>
          <w:p w14:paraId="540D381D" w14:textId="77777777" w:rsidR="009F28DB" w:rsidRPr="00DF47E1" w:rsidRDefault="009F28DB" w:rsidP="006630EB">
            <w:pPr>
              <w:pStyle w:val="LightGrid-Accent31"/>
              <w:ind w:left="0"/>
              <w:jc w:val="both"/>
              <w:rPr>
                <w:b/>
                <w:sz w:val="24"/>
                <w:szCs w:val="24"/>
                <w:lang w:val="fr-FR"/>
              </w:rPr>
            </w:pPr>
          </w:p>
          <w:p w14:paraId="1A2EA08E" w14:textId="3E5BC074" w:rsidR="009F28DB" w:rsidRPr="00DF47E1" w:rsidRDefault="00AC1C3F" w:rsidP="006630EB">
            <w:pPr>
              <w:pStyle w:val="LightGrid-Accent31"/>
              <w:ind w:left="0"/>
              <w:jc w:val="both"/>
              <w:rPr>
                <w:b/>
                <w:sz w:val="24"/>
                <w:szCs w:val="24"/>
                <w:lang w:val="fr-FR"/>
              </w:rPr>
            </w:pPr>
            <w:r>
              <w:rPr>
                <w:b/>
                <w:sz w:val="24"/>
                <w:szCs w:val="24"/>
                <w:lang w:val="fr-FR"/>
              </w:rPr>
              <w:t>ONG Internationales</w:t>
            </w:r>
          </w:p>
          <w:p w14:paraId="09D23045" w14:textId="77777777" w:rsidR="009F28DB" w:rsidRPr="00DF47E1" w:rsidRDefault="009F28DB" w:rsidP="006630EB">
            <w:pPr>
              <w:pStyle w:val="LightGrid-Accent31"/>
              <w:ind w:left="0"/>
              <w:jc w:val="both"/>
              <w:rPr>
                <w:b/>
                <w:sz w:val="24"/>
                <w:szCs w:val="24"/>
                <w:lang w:val="fr-FR"/>
              </w:rPr>
            </w:pPr>
          </w:p>
          <w:p w14:paraId="5F9281E2" w14:textId="77777777" w:rsidR="009F28DB" w:rsidRPr="00DF47E1" w:rsidDel="00384715" w:rsidRDefault="009F28DB" w:rsidP="006630EB">
            <w:pPr>
              <w:pStyle w:val="LightGrid-Accent31"/>
              <w:ind w:left="0"/>
              <w:jc w:val="both"/>
              <w:rPr>
                <w:b/>
                <w:sz w:val="24"/>
                <w:szCs w:val="24"/>
                <w:lang w:val="fr-FR"/>
              </w:rPr>
            </w:pPr>
            <w:r w:rsidRPr="00DF47E1">
              <w:rPr>
                <w:b/>
                <w:sz w:val="24"/>
                <w:szCs w:val="24"/>
                <w:lang w:val="fr-FR"/>
              </w:rPr>
              <w:t>et Partenaires locaux</w:t>
            </w:r>
          </w:p>
        </w:tc>
        <w:tc>
          <w:tcPr>
            <w:tcW w:w="12324" w:type="dxa"/>
            <w:tcBorders>
              <w:top w:val="single" w:sz="4" w:space="0" w:color="auto"/>
              <w:left w:val="single" w:sz="4" w:space="0" w:color="auto"/>
              <w:bottom w:val="single" w:sz="4" w:space="0" w:color="auto"/>
              <w:right w:val="single" w:sz="4" w:space="0" w:color="auto"/>
            </w:tcBorders>
            <w:shd w:val="clear" w:color="auto" w:fill="auto"/>
          </w:tcPr>
          <w:p w14:paraId="128DAB7F" w14:textId="60F2EDF7" w:rsidR="009F28DB" w:rsidRPr="009F28DB" w:rsidRDefault="009F28DB" w:rsidP="009F28DB">
            <w:pPr>
              <w:pStyle w:val="LightGrid-Accent31"/>
              <w:ind w:left="367" w:hanging="357"/>
              <w:contextualSpacing/>
              <w:jc w:val="both"/>
              <w:rPr>
                <w:bCs/>
                <w:sz w:val="24"/>
                <w:szCs w:val="24"/>
                <w:lang w:val="fr-FR"/>
              </w:rPr>
            </w:pPr>
            <w:r w:rsidRPr="009F28DB">
              <w:rPr>
                <w:bCs/>
                <w:sz w:val="24"/>
                <w:szCs w:val="24"/>
                <w:lang w:val="fr-FR"/>
              </w:rPr>
              <w:t>En tant qu’entités :</w:t>
            </w:r>
          </w:p>
          <w:p w14:paraId="2C0E88DE" w14:textId="11F2A1E8" w:rsidR="00421588" w:rsidRPr="009F28DB" w:rsidRDefault="00421588" w:rsidP="00421588">
            <w:pPr>
              <w:numPr>
                <w:ilvl w:val="0"/>
                <w:numId w:val="20"/>
              </w:numPr>
              <w:ind w:left="367"/>
              <w:jc w:val="both"/>
              <w:rPr>
                <w:bCs/>
                <w:sz w:val="24"/>
                <w:szCs w:val="24"/>
                <w:lang w:val="fr-FR"/>
              </w:rPr>
            </w:pPr>
            <w:r w:rsidRPr="009F28DB">
              <w:rPr>
                <w:bCs/>
                <w:sz w:val="24"/>
                <w:szCs w:val="24"/>
                <w:lang w:val="fr-FR"/>
              </w:rPr>
              <w:t xml:space="preserve">Veiller à la mise en application du </w:t>
            </w:r>
            <w:r w:rsidR="007A0E11">
              <w:rPr>
                <w:bCs/>
                <w:sz w:val="24"/>
                <w:szCs w:val="24"/>
                <w:lang w:val="fr-FR"/>
              </w:rPr>
              <w:t xml:space="preserve">présent </w:t>
            </w:r>
            <w:r w:rsidRPr="009F28DB">
              <w:rPr>
                <w:bCs/>
                <w:sz w:val="24"/>
                <w:szCs w:val="24"/>
                <w:lang w:val="fr-FR"/>
              </w:rPr>
              <w:t>protocole, y compris le mécanisme de référence pour l’assistance aux victimes, indépendamment de l’identité de l’aute</w:t>
            </w:r>
            <w:r w:rsidR="007A0E11">
              <w:rPr>
                <w:bCs/>
                <w:sz w:val="24"/>
                <w:szCs w:val="24"/>
                <w:lang w:val="fr-FR"/>
              </w:rPr>
              <w:t>ur ou du statut de leur plainte</w:t>
            </w:r>
            <w:r w:rsidRPr="009F28DB">
              <w:rPr>
                <w:bCs/>
                <w:sz w:val="24"/>
                <w:szCs w:val="24"/>
                <w:lang w:val="fr-FR"/>
              </w:rPr>
              <w:t xml:space="preserve"> </w:t>
            </w:r>
          </w:p>
          <w:p w14:paraId="5FF8EC4B" w14:textId="5CB7BBEF" w:rsidR="009F28DB" w:rsidRPr="009F28DB" w:rsidRDefault="00362304" w:rsidP="006630EB">
            <w:pPr>
              <w:pStyle w:val="LightGrid-Accent31"/>
              <w:numPr>
                <w:ilvl w:val="0"/>
                <w:numId w:val="20"/>
              </w:numPr>
              <w:ind w:left="367"/>
              <w:contextualSpacing/>
              <w:jc w:val="both"/>
              <w:rPr>
                <w:bCs/>
                <w:sz w:val="24"/>
                <w:szCs w:val="24"/>
                <w:lang w:val="fr-FR"/>
              </w:rPr>
            </w:pPr>
            <w:r w:rsidRPr="009F28DB">
              <w:rPr>
                <w:bCs/>
                <w:sz w:val="24"/>
                <w:szCs w:val="24"/>
                <w:lang w:val="fr-FR"/>
              </w:rPr>
              <w:t xml:space="preserve">Veiller à la mise en application du </w:t>
            </w:r>
            <w:r w:rsidR="009F28DB" w:rsidRPr="009F28DB">
              <w:rPr>
                <w:bCs/>
                <w:sz w:val="24"/>
                <w:szCs w:val="24"/>
                <w:lang w:val="fr-FR"/>
              </w:rPr>
              <w:t>code de conduite humanitaire, y comp</w:t>
            </w:r>
            <w:r w:rsidR="00421588">
              <w:rPr>
                <w:bCs/>
                <w:sz w:val="24"/>
                <w:szCs w:val="24"/>
                <w:lang w:val="fr-FR"/>
              </w:rPr>
              <w:t xml:space="preserve">ris à travers le développement/renforcement </w:t>
            </w:r>
            <w:r w:rsidR="009F28DB" w:rsidRPr="009F28DB">
              <w:rPr>
                <w:bCs/>
                <w:sz w:val="24"/>
                <w:szCs w:val="24"/>
                <w:lang w:val="fr-FR"/>
              </w:rPr>
              <w:t>et la mise en œuvre de codes de conduite in</w:t>
            </w:r>
            <w:r w:rsidR="007A0E11">
              <w:rPr>
                <w:bCs/>
                <w:sz w:val="24"/>
                <w:szCs w:val="24"/>
                <w:lang w:val="fr-FR"/>
              </w:rPr>
              <w:t>ternes pour tous les personnels</w:t>
            </w:r>
          </w:p>
          <w:p w14:paraId="6B8DEC2F" w14:textId="11588C35" w:rsidR="009F28DB" w:rsidRPr="009F28DB" w:rsidRDefault="00F04394" w:rsidP="006630EB">
            <w:pPr>
              <w:pStyle w:val="LightGrid-Accent31"/>
              <w:numPr>
                <w:ilvl w:val="0"/>
                <w:numId w:val="20"/>
              </w:numPr>
              <w:ind w:left="367"/>
              <w:contextualSpacing/>
              <w:jc w:val="both"/>
              <w:rPr>
                <w:bCs/>
                <w:sz w:val="24"/>
                <w:szCs w:val="24"/>
                <w:lang w:val="fr-FR"/>
              </w:rPr>
            </w:pPr>
            <w:r>
              <w:rPr>
                <w:bCs/>
                <w:sz w:val="24"/>
                <w:szCs w:val="24"/>
                <w:lang w:val="fr-FR"/>
              </w:rPr>
              <w:t>Prendre en compte</w:t>
            </w:r>
            <w:r w:rsidR="009F28DB" w:rsidRPr="009F28DB">
              <w:rPr>
                <w:bCs/>
                <w:sz w:val="24"/>
                <w:szCs w:val="24"/>
                <w:lang w:val="fr-FR"/>
              </w:rPr>
              <w:t xml:space="preserve"> le</w:t>
            </w:r>
            <w:r w:rsidR="00421588">
              <w:rPr>
                <w:bCs/>
                <w:sz w:val="24"/>
                <w:szCs w:val="24"/>
                <w:lang w:val="fr-FR"/>
              </w:rPr>
              <w:t>s directives</w:t>
            </w:r>
            <w:r w:rsidR="009F28DB" w:rsidRPr="009F28DB">
              <w:rPr>
                <w:bCs/>
                <w:sz w:val="24"/>
                <w:szCs w:val="24"/>
                <w:lang w:val="fr-FR"/>
              </w:rPr>
              <w:t xml:space="preserve"> du Secrétaire Général sur les standards de prévention des EAS da</w:t>
            </w:r>
            <w:r w:rsidR="007A0E11">
              <w:rPr>
                <w:bCs/>
                <w:sz w:val="24"/>
                <w:szCs w:val="24"/>
                <w:lang w:val="fr-FR"/>
              </w:rPr>
              <w:t>ns les engagements contractuels</w:t>
            </w:r>
          </w:p>
          <w:p w14:paraId="3EAAB957" w14:textId="7B59F765" w:rsidR="009F28DB" w:rsidRPr="00817DB4" w:rsidRDefault="009F28DB" w:rsidP="006630EB">
            <w:pPr>
              <w:pStyle w:val="LightGrid-Accent31"/>
              <w:numPr>
                <w:ilvl w:val="0"/>
                <w:numId w:val="20"/>
              </w:numPr>
              <w:ind w:left="367"/>
              <w:contextualSpacing/>
              <w:jc w:val="both"/>
              <w:rPr>
                <w:bCs/>
                <w:sz w:val="24"/>
                <w:szCs w:val="24"/>
                <w:lang w:val="fr-FR"/>
              </w:rPr>
            </w:pPr>
            <w:r w:rsidRPr="009F28DB">
              <w:rPr>
                <w:bCs/>
                <w:sz w:val="24"/>
                <w:szCs w:val="24"/>
                <w:lang w:val="fr-FR"/>
              </w:rPr>
              <w:t>Former et sensibiliser le personnel sur l’EAS</w:t>
            </w:r>
            <w:r w:rsidR="00D169CA">
              <w:rPr>
                <w:bCs/>
                <w:sz w:val="24"/>
                <w:szCs w:val="24"/>
                <w:lang w:val="fr-FR"/>
              </w:rPr>
              <w:t>,</w:t>
            </w:r>
            <w:r w:rsidR="00817DB4" w:rsidRPr="009F28DB">
              <w:rPr>
                <w:b/>
                <w:sz w:val="24"/>
                <w:szCs w:val="24"/>
                <w:lang w:val="fr-FR"/>
              </w:rPr>
              <w:t xml:space="preserve"> </w:t>
            </w:r>
            <w:r w:rsidR="00817DB4" w:rsidRPr="00306B87">
              <w:rPr>
                <w:sz w:val="24"/>
                <w:szCs w:val="24"/>
                <w:lang w:val="fr-FR"/>
              </w:rPr>
              <w:t>en tant qu’élément important de l’effort pour répondre à l’EAS</w:t>
            </w:r>
            <w:r w:rsidR="006F21D4">
              <w:rPr>
                <w:sz w:val="24"/>
                <w:szCs w:val="24"/>
                <w:lang w:val="fr-FR"/>
              </w:rPr>
              <w:t xml:space="preserve"> (u</w:t>
            </w:r>
            <w:r w:rsidR="009A11BD">
              <w:rPr>
                <w:sz w:val="24"/>
                <w:szCs w:val="24"/>
                <w:lang w:val="fr-FR"/>
              </w:rPr>
              <w:t>n appui pourra être apporté par la Task Force</w:t>
            </w:r>
            <w:r w:rsidR="006F21D4">
              <w:rPr>
                <w:sz w:val="24"/>
                <w:szCs w:val="24"/>
                <w:lang w:val="fr-FR"/>
              </w:rPr>
              <w:t>)</w:t>
            </w:r>
          </w:p>
          <w:p w14:paraId="36951898" w14:textId="4D5C13D2" w:rsidR="009F28DB" w:rsidRPr="009F28DB" w:rsidRDefault="006F21D4" w:rsidP="006630EB">
            <w:pPr>
              <w:pStyle w:val="LightGrid-Accent31"/>
              <w:numPr>
                <w:ilvl w:val="0"/>
                <w:numId w:val="20"/>
              </w:numPr>
              <w:ind w:left="367"/>
              <w:contextualSpacing/>
              <w:jc w:val="both"/>
              <w:rPr>
                <w:bCs/>
                <w:sz w:val="24"/>
                <w:szCs w:val="24"/>
                <w:lang w:val="fr-FR"/>
              </w:rPr>
            </w:pPr>
            <w:r>
              <w:rPr>
                <w:bCs/>
                <w:sz w:val="24"/>
                <w:szCs w:val="24"/>
                <w:lang w:val="fr-FR"/>
              </w:rPr>
              <w:t xml:space="preserve">Designer 2 points focaux pour contribution </w:t>
            </w:r>
            <w:r w:rsidR="009F28DB" w:rsidRPr="009F28DB">
              <w:rPr>
                <w:bCs/>
                <w:sz w:val="24"/>
                <w:szCs w:val="24"/>
                <w:lang w:val="fr-FR"/>
              </w:rPr>
              <w:t>active</w:t>
            </w:r>
            <w:r>
              <w:rPr>
                <w:bCs/>
                <w:sz w:val="24"/>
                <w:szCs w:val="24"/>
                <w:lang w:val="fr-FR"/>
              </w:rPr>
              <w:t xml:space="preserve"> </w:t>
            </w:r>
            <w:r w:rsidR="009F28DB" w:rsidRPr="009F28DB">
              <w:rPr>
                <w:bCs/>
                <w:sz w:val="24"/>
                <w:szCs w:val="24"/>
                <w:lang w:val="fr-FR"/>
              </w:rPr>
              <w:t>au réseau de points-focau</w:t>
            </w:r>
            <w:r w:rsidR="007A0E11">
              <w:rPr>
                <w:bCs/>
                <w:sz w:val="24"/>
                <w:szCs w:val="24"/>
                <w:lang w:val="fr-FR"/>
              </w:rPr>
              <w:t>x EAS</w:t>
            </w:r>
          </w:p>
          <w:p w14:paraId="66BE663B" w14:textId="4E832DB6" w:rsidR="009F28DB" w:rsidRPr="009F28DB" w:rsidRDefault="009F28DB" w:rsidP="006630EB">
            <w:pPr>
              <w:pStyle w:val="Heading5"/>
              <w:numPr>
                <w:ilvl w:val="0"/>
                <w:numId w:val="20"/>
              </w:numPr>
              <w:spacing w:before="0" w:beforeAutospacing="0" w:after="0" w:afterAutospacing="0" w:line="276" w:lineRule="auto"/>
              <w:ind w:left="367"/>
              <w:jc w:val="both"/>
              <w:rPr>
                <w:rFonts w:ascii="Calibri" w:eastAsia="Calibri" w:hAnsi="Calibri"/>
                <w:b w:val="0"/>
                <w:sz w:val="24"/>
                <w:szCs w:val="24"/>
                <w:lang w:val="fr-FR"/>
              </w:rPr>
            </w:pPr>
            <w:r w:rsidRPr="009F28DB">
              <w:rPr>
                <w:rStyle w:val="Strong"/>
                <w:rFonts w:ascii="Calibri" w:eastAsia="Calibri" w:hAnsi="Calibri"/>
                <w:bCs/>
                <w:sz w:val="24"/>
                <w:szCs w:val="24"/>
                <w:lang w:val="fr-FR"/>
              </w:rPr>
              <w:t xml:space="preserve">Engager </w:t>
            </w:r>
            <w:r w:rsidR="000B5B77">
              <w:rPr>
                <w:rStyle w:val="Strong"/>
                <w:rFonts w:ascii="Calibri" w:eastAsia="Calibri" w:hAnsi="Calibri"/>
                <w:bCs/>
                <w:sz w:val="24"/>
                <w:szCs w:val="24"/>
                <w:lang w:val="fr-FR"/>
              </w:rPr>
              <w:t xml:space="preserve">effectivement </w:t>
            </w:r>
            <w:r w:rsidRPr="009F28DB">
              <w:rPr>
                <w:rStyle w:val="Strong"/>
                <w:rFonts w:ascii="Calibri" w:eastAsia="Calibri" w:hAnsi="Calibri"/>
                <w:bCs/>
                <w:sz w:val="24"/>
                <w:szCs w:val="24"/>
                <w:lang w:val="fr-FR"/>
              </w:rPr>
              <w:t xml:space="preserve">des actions disciplinaires et des sanctions à l’encontre des </w:t>
            </w:r>
            <w:r w:rsidR="00817DB4">
              <w:rPr>
                <w:rStyle w:val="Strong"/>
                <w:rFonts w:ascii="Calibri" w:eastAsia="Calibri" w:hAnsi="Calibri"/>
                <w:bCs/>
                <w:sz w:val="24"/>
                <w:szCs w:val="24"/>
                <w:lang w:val="fr-FR"/>
              </w:rPr>
              <w:t xml:space="preserve">staffs, </w:t>
            </w:r>
            <w:r w:rsidRPr="009F28DB">
              <w:rPr>
                <w:rStyle w:val="Strong"/>
                <w:rFonts w:ascii="Calibri" w:eastAsia="Calibri" w:hAnsi="Calibri"/>
                <w:bCs/>
                <w:sz w:val="24"/>
                <w:szCs w:val="24"/>
                <w:lang w:val="fr-FR"/>
              </w:rPr>
              <w:t>auteurs avérés d’EAS</w:t>
            </w:r>
            <w:r w:rsidR="000B5B77">
              <w:rPr>
                <w:rStyle w:val="Strong"/>
                <w:rFonts w:ascii="Calibri" w:eastAsia="Calibri" w:hAnsi="Calibri"/>
                <w:bCs/>
                <w:sz w:val="24"/>
                <w:szCs w:val="24"/>
                <w:lang w:val="fr-FR"/>
              </w:rPr>
              <w:t>, suivants leurs procédures</w:t>
            </w:r>
            <w:r w:rsidR="009A11BD">
              <w:rPr>
                <w:rStyle w:val="Strong"/>
                <w:rFonts w:ascii="Calibri" w:eastAsia="Calibri" w:hAnsi="Calibri"/>
                <w:bCs/>
                <w:sz w:val="24"/>
                <w:szCs w:val="24"/>
                <w:lang w:val="fr-FR"/>
              </w:rPr>
              <w:t xml:space="preserve"> internes</w:t>
            </w:r>
            <w:r w:rsidR="000B5B77">
              <w:rPr>
                <w:rStyle w:val="Strong"/>
                <w:rFonts w:ascii="Calibri" w:eastAsia="Calibri" w:hAnsi="Calibri"/>
                <w:bCs/>
                <w:sz w:val="24"/>
                <w:szCs w:val="24"/>
                <w:lang w:val="fr-FR"/>
              </w:rPr>
              <w:t>.</w:t>
            </w:r>
          </w:p>
        </w:tc>
      </w:tr>
    </w:tbl>
    <w:p w14:paraId="15544143" w14:textId="5807E447" w:rsidR="00A41012" w:rsidRPr="00FA5E58" w:rsidRDefault="00A41012" w:rsidP="009F28DB">
      <w:pPr>
        <w:pStyle w:val="MediumList2-Accent41"/>
        <w:spacing w:afterLines="80" w:after="192"/>
        <w:ind w:left="0"/>
        <w:jc w:val="both"/>
        <w:rPr>
          <w:b/>
          <w:iCs/>
          <w:sz w:val="24"/>
          <w:szCs w:val="24"/>
        </w:rPr>
      </w:pPr>
    </w:p>
    <w:sectPr w:rsidR="00A41012" w:rsidRPr="00FA5E58" w:rsidSect="009010FC">
      <w:pgSz w:w="16838" w:h="11906"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02C46" w14:textId="77777777" w:rsidR="00500D2E" w:rsidRDefault="00500D2E" w:rsidP="000A5D01">
      <w:pPr>
        <w:spacing w:after="288" w:line="240" w:lineRule="auto"/>
      </w:pPr>
      <w:r>
        <w:separator/>
      </w:r>
    </w:p>
  </w:endnote>
  <w:endnote w:type="continuationSeparator" w:id="0">
    <w:p w14:paraId="4581CF69" w14:textId="77777777" w:rsidR="00500D2E" w:rsidRDefault="00500D2E" w:rsidP="000A5D01">
      <w:pPr>
        <w:spacing w:after="28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A26A" w14:textId="77777777" w:rsidR="00C36734" w:rsidRDefault="00C36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044140"/>
      <w:docPartObj>
        <w:docPartGallery w:val="Page Numbers (Bottom of Page)"/>
        <w:docPartUnique/>
      </w:docPartObj>
    </w:sdtPr>
    <w:sdtEndPr>
      <w:rPr>
        <w:color w:val="7F7F7F" w:themeColor="background1" w:themeShade="7F"/>
        <w:spacing w:val="60"/>
      </w:rPr>
    </w:sdtEndPr>
    <w:sdtContent>
      <w:p w14:paraId="1BBA5763" w14:textId="4A235E8D" w:rsidR="00500D2E" w:rsidRDefault="00500D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35968" w:rsidRPr="00C35968">
          <w:rPr>
            <w:b/>
            <w:bCs/>
            <w:noProof/>
          </w:rPr>
          <w:t>13</w:t>
        </w:r>
        <w:r>
          <w:rPr>
            <w:b/>
            <w:bCs/>
            <w:noProof/>
          </w:rPr>
          <w:fldChar w:fldCharType="end"/>
        </w:r>
        <w:r>
          <w:rPr>
            <w:b/>
            <w:bCs/>
          </w:rPr>
          <w:t xml:space="preserve"> | </w:t>
        </w:r>
        <w:r>
          <w:rPr>
            <w:color w:val="7F7F7F" w:themeColor="background1" w:themeShade="7F"/>
            <w:spacing w:val="60"/>
          </w:rPr>
          <w:t>Page</w:t>
        </w:r>
      </w:p>
    </w:sdtContent>
  </w:sdt>
  <w:p w14:paraId="6F7EF769" w14:textId="77777777" w:rsidR="00500D2E" w:rsidRDefault="00500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EAF50" w14:textId="77777777" w:rsidR="00C36734" w:rsidRDefault="00C36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6689" w14:textId="77777777" w:rsidR="00500D2E" w:rsidRDefault="00500D2E" w:rsidP="000A5D01">
      <w:pPr>
        <w:spacing w:after="288" w:line="240" w:lineRule="auto"/>
      </w:pPr>
      <w:r>
        <w:separator/>
      </w:r>
    </w:p>
  </w:footnote>
  <w:footnote w:type="continuationSeparator" w:id="0">
    <w:p w14:paraId="2047D005" w14:textId="77777777" w:rsidR="00500D2E" w:rsidRDefault="00500D2E" w:rsidP="000A5D01">
      <w:pPr>
        <w:spacing w:after="288" w:line="240" w:lineRule="auto"/>
      </w:pPr>
      <w:r>
        <w:continuationSeparator/>
      </w:r>
    </w:p>
  </w:footnote>
  <w:footnote w:id="1">
    <w:p w14:paraId="2DB9A8EE" w14:textId="77777777" w:rsidR="00500D2E" w:rsidRPr="002D2CD1" w:rsidRDefault="00500D2E" w:rsidP="008B5850">
      <w:pPr>
        <w:pStyle w:val="FootnoteText"/>
        <w:rPr>
          <w:lang w:val="fr-FR"/>
        </w:rPr>
      </w:pPr>
      <w:r>
        <w:rPr>
          <w:rStyle w:val="FootnoteReference"/>
        </w:rPr>
        <w:footnoteRef/>
      </w:r>
      <w:r>
        <w:t xml:space="preserve"> </w:t>
      </w:r>
      <w:r>
        <w:rPr>
          <w:rFonts w:eastAsia="Times New Roman"/>
          <w:lang w:val="fr-FR"/>
        </w:rPr>
        <w:t>Les agences et organisations parties à cet accord sont énumérées à l'annexe I (ci-après dénommées "entités" ou "signataires").</w:t>
      </w:r>
    </w:p>
  </w:footnote>
  <w:footnote w:id="2">
    <w:p w14:paraId="7DA729E5" w14:textId="0E95A747" w:rsidR="00500D2E" w:rsidRPr="002D2CD1" w:rsidRDefault="00500D2E" w:rsidP="00C957F3">
      <w:pPr>
        <w:pStyle w:val="FootnoteText"/>
        <w:rPr>
          <w:lang w:val="fr-FR"/>
        </w:rPr>
      </w:pPr>
      <w:r>
        <w:rPr>
          <w:rStyle w:val="FootnoteReference"/>
        </w:rPr>
        <w:footnoteRef/>
      </w:r>
      <w:r>
        <w:t xml:space="preserve"> </w:t>
      </w:r>
      <w:r>
        <w:rPr>
          <w:rFonts w:eastAsia="Times New Roman"/>
          <w:lang w:val="fr-FR"/>
        </w:rPr>
        <w:t>Définition d'une "allégation d'EAS": une information non corroborée indiquant la survenance éventuelle d'un acte ou d'actes d'exploitation et d'abus sexuels.</w:t>
      </w:r>
    </w:p>
  </w:footnote>
  <w:footnote w:id="3">
    <w:p w14:paraId="10FF3799" w14:textId="77777777" w:rsidR="00500D2E" w:rsidRPr="002D2CD1" w:rsidRDefault="00500D2E" w:rsidP="00C957F3">
      <w:pPr>
        <w:pStyle w:val="FootnoteText"/>
        <w:rPr>
          <w:lang w:val="fr-FR"/>
        </w:rPr>
      </w:pPr>
      <w:r>
        <w:rPr>
          <w:rStyle w:val="FootnoteReference"/>
        </w:rPr>
        <w:footnoteRef/>
      </w:r>
      <w:r>
        <w:t xml:space="preserve"> </w:t>
      </w:r>
      <w:r>
        <w:rPr>
          <w:rFonts w:eastAsia="Times New Roman"/>
          <w:lang w:val="fr-FR"/>
        </w:rPr>
        <w:t>Aux fins du présent Protocole, on entend par "personnel des Nations Unies et personnel associé des Nations Unies":</w:t>
      </w:r>
      <w:r>
        <w:rPr>
          <w:rFonts w:eastAsia="Times New Roman"/>
          <w:lang w:val="fr-FR"/>
        </w:rPr>
        <w:br/>
        <w:t>i) Les personnes engagées ou déployées par le Secrétaire Général de l'Organisation des Nations Unies en tant que membres des composantes militaires, policières ou civiles d'une opération des Nations Unies;</w:t>
      </w:r>
      <w:r>
        <w:rPr>
          <w:rFonts w:eastAsia="Times New Roman"/>
          <w:lang w:val="fr-FR"/>
        </w:rPr>
        <w:br/>
        <w:t>ii) D'autres fonctionnaires et experts en mission de l'Organisation des Nations Unies ou de ses institutions spécialisées qui sont présents à titre officiel dans la zone où se déroule une opération des Nations Unies;</w:t>
      </w:r>
      <w:r>
        <w:rPr>
          <w:rFonts w:eastAsia="Times New Roman"/>
          <w:lang w:val="fr-FR"/>
        </w:rPr>
        <w:br/>
        <w:t>iii) Les personnes désignées par un gouvernement ou une organisation intergouvernementale avec l'accord de l'organe compétent de l'Organisation des Nations Unies;</w:t>
      </w:r>
      <w:r>
        <w:rPr>
          <w:rFonts w:eastAsia="Times New Roman"/>
          <w:lang w:val="fr-FR"/>
        </w:rPr>
        <w:br/>
        <w:t>iv) Personnes recrutées par le Secrétaire général des Nations Unies ou par une institution spécialisée</w:t>
      </w:r>
      <w:r>
        <w:rPr>
          <w:rFonts w:eastAsia="Times New Roman"/>
          <w:lang w:val="fr-FR"/>
        </w:rPr>
        <w:br/>
        <w:t>v) Les personnes déployées par une organisation ou un organisme humanitaire non gouvernemental en vertu d'un accord conclu avec le Secrétaire général des Nations Unies ou avec une institution spécialisée pour mener des activités à l'appui de l'exécution du mandat d'une opération des Nations Unies.</w:t>
      </w:r>
      <w:r>
        <w:rPr>
          <w:rFonts w:eastAsia="Times New Roman"/>
          <w:lang w:val="fr-FR"/>
        </w:rPr>
        <w:br/>
        <w:t>(vi) Les employés du contacteur fournissant des services aux Nations Unies</w:t>
      </w:r>
    </w:p>
  </w:footnote>
  <w:footnote w:id="4">
    <w:p w14:paraId="2A04905F" w14:textId="77777777" w:rsidR="00500D2E" w:rsidRPr="002D2CD1" w:rsidRDefault="00500D2E" w:rsidP="00C957F3">
      <w:pPr>
        <w:pStyle w:val="FootnoteText"/>
        <w:rPr>
          <w:lang w:val="fr-FR"/>
        </w:rPr>
      </w:pPr>
      <w:r>
        <w:rPr>
          <w:rStyle w:val="FootnoteReference"/>
        </w:rPr>
        <w:footnoteRef/>
      </w:r>
      <w:r>
        <w:t xml:space="preserve"> </w:t>
      </w:r>
      <w:r w:rsidRPr="00CE02D7">
        <w:rPr>
          <w:rStyle w:val="st"/>
          <w:rFonts w:eastAsia="Times New Roman" w:cs="Arial"/>
          <w:sz w:val="18"/>
          <w:szCs w:val="18"/>
          <w:lang w:val="en-US"/>
        </w:rPr>
        <w:t>Secretary-General's Bulletin: Special measures for protection from sexual exploitation and sexual abuse (</w:t>
      </w:r>
      <w:r w:rsidRPr="00CE02D7">
        <w:rPr>
          <w:rStyle w:val="Emphasis"/>
          <w:rFonts w:eastAsia="Times New Roman" w:cs="Arial"/>
          <w:sz w:val="18"/>
          <w:szCs w:val="18"/>
          <w:lang w:val="en-US"/>
        </w:rPr>
        <w:t>ST</w:t>
      </w:r>
      <w:r w:rsidRPr="00CE02D7">
        <w:rPr>
          <w:rStyle w:val="st"/>
          <w:rFonts w:eastAsia="Times New Roman" w:cs="Arial"/>
          <w:sz w:val="18"/>
          <w:szCs w:val="18"/>
          <w:lang w:val="en-US"/>
        </w:rPr>
        <w:t>/</w:t>
      </w:r>
      <w:r w:rsidRPr="00CE02D7">
        <w:rPr>
          <w:rStyle w:val="Emphasis"/>
          <w:rFonts w:eastAsia="Times New Roman" w:cs="Arial"/>
          <w:sz w:val="18"/>
          <w:szCs w:val="18"/>
          <w:lang w:val="en-US"/>
        </w:rPr>
        <w:t>SGB</w:t>
      </w:r>
      <w:r w:rsidRPr="00CE02D7">
        <w:rPr>
          <w:rStyle w:val="st"/>
          <w:rFonts w:eastAsia="Times New Roman" w:cs="Arial"/>
          <w:sz w:val="18"/>
          <w:szCs w:val="18"/>
          <w:lang w:val="en-US"/>
        </w:rPr>
        <w:t>/</w:t>
      </w:r>
      <w:r w:rsidRPr="00CE02D7">
        <w:rPr>
          <w:rStyle w:val="Emphasis"/>
          <w:rFonts w:eastAsia="Times New Roman" w:cs="Arial"/>
          <w:sz w:val="18"/>
          <w:szCs w:val="18"/>
          <w:lang w:val="en-US"/>
        </w:rPr>
        <w:t>2003/13</w:t>
      </w:r>
      <w:r w:rsidRPr="00CE02D7">
        <w:rPr>
          <w:rStyle w:val="st"/>
          <w:rFonts w:eastAsia="Times New Roman" w:cs="Arial"/>
          <w:sz w:val="18"/>
          <w:szCs w:val="18"/>
          <w:lang w:val="en-US"/>
        </w:rPr>
        <w:t>), 9 October 2013.</w:t>
      </w:r>
    </w:p>
  </w:footnote>
  <w:footnote w:id="5">
    <w:p w14:paraId="0C23514D" w14:textId="77777777" w:rsidR="00500D2E" w:rsidRPr="002D2CD1" w:rsidRDefault="00500D2E" w:rsidP="00C957F3">
      <w:pPr>
        <w:pStyle w:val="FootnoteText"/>
        <w:rPr>
          <w:lang w:val="fr-FR"/>
        </w:rPr>
      </w:pPr>
      <w:r>
        <w:rPr>
          <w:rStyle w:val="FootnoteReference"/>
        </w:rPr>
        <w:footnoteRef/>
      </w:r>
      <w:r w:rsidRPr="002D2CD1">
        <w:rPr>
          <w:rStyle w:val="st"/>
          <w:rFonts w:eastAsia="Times New Roman" w:cs="Arial"/>
          <w:sz w:val="18"/>
          <w:szCs w:val="18"/>
          <w:lang w:val="en-US"/>
        </w:rPr>
        <w:t xml:space="preserve"> </w:t>
      </w:r>
      <w:r w:rsidRPr="002D2CD1">
        <w:rPr>
          <w:rStyle w:val="st"/>
          <w:rFonts w:cs="Arial"/>
          <w:sz w:val="18"/>
          <w:szCs w:val="18"/>
          <w:lang w:val="en-US"/>
        </w:rPr>
        <w:t>Liés aux EAS dans le cadre du présent protocole.</w:t>
      </w:r>
    </w:p>
  </w:footnote>
  <w:footnote w:id="6">
    <w:p w14:paraId="4F315602" w14:textId="77777777" w:rsidR="00500D2E" w:rsidRPr="00FC2897" w:rsidRDefault="00500D2E" w:rsidP="00505FAA">
      <w:pPr>
        <w:pStyle w:val="FootnoteText"/>
        <w:jc w:val="both"/>
        <w:rPr>
          <w:lang w:val="fr-FR"/>
        </w:rPr>
      </w:pPr>
      <w:r>
        <w:rPr>
          <w:rStyle w:val="FootnoteReference"/>
        </w:rPr>
        <w:footnoteRef/>
      </w:r>
      <w:r>
        <w:t xml:space="preserve"> </w:t>
      </w:r>
      <w:r w:rsidRPr="00FC2897">
        <w:rPr>
          <w:rStyle w:val="st"/>
          <w:rFonts w:cs="Arial"/>
          <w:sz w:val="18"/>
          <w:szCs w:val="18"/>
          <w:lang w:val="fr-FR"/>
        </w:rPr>
        <w:t>Afin de se conformer à l'utilisation du terme «victime» par l'Assemblée Générale des Nations Unies dans le contexte de la programmation d'aide en matière d'EAS, le présent protocole utilise le terme «victime». Toutefois, ce terme est interchangeable</w:t>
      </w:r>
      <w:r>
        <w:rPr>
          <w:rStyle w:val="st"/>
          <w:rFonts w:cs="Arial"/>
          <w:sz w:val="18"/>
          <w:szCs w:val="18"/>
          <w:lang w:val="fr-FR"/>
        </w:rPr>
        <w:t xml:space="preserve"> </w:t>
      </w:r>
      <w:r w:rsidRPr="00FC2897">
        <w:rPr>
          <w:rStyle w:val="st"/>
          <w:rFonts w:cs="Arial"/>
          <w:sz w:val="18"/>
          <w:szCs w:val="18"/>
          <w:lang w:val="fr-FR"/>
        </w:rPr>
        <w:t>avec celui de survivante, les deux désig</w:t>
      </w:r>
      <w:r>
        <w:rPr>
          <w:rStyle w:val="st"/>
          <w:rFonts w:cs="Arial"/>
          <w:sz w:val="18"/>
          <w:szCs w:val="18"/>
          <w:lang w:val="fr-FR"/>
        </w:rPr>
        <w:t>n</w:t>
      </w:r>
      <w:r w:rsidRPr="00FC2897">
        <w:rPr>
          <w:rStyle w:val="st"/>
          <w:rFonts w:cs="Arial"/>
          <w:sz w:val="18"/>
          <w:szCs w:val="18"/>
          <w:lang w:val="fr-FR"/>
        </w:rPr>
        <w:t>ant la personne ayant subi un incident d’EAS.</w:t>
      </w:r>
    </w:p>
  </w:footnote>
  <w:footnote w:id="7">
    <w:p w14:paraId="3BCBCE92" w14:textId="77777777" w:rsidR="00500D2E" w:rsidRPr="00C77AF8" w:rsidRDefault="00500D2E" w:rsidP="00372BFB">
      <w:pPr>
        <w:pStyle w:val="FootnoteText"/>
        <w:rPr>
          <w:lang w:val="fr-FR"/>
        </w:rPr>
      </w:pPr>
      <w:r>
        <w:rPr>
          <w:rStyle w:val="FootnoteReference"/>
        </w:rPr>
        <w:footnoteRef/>
      </w:r>
      <w:r>
        <w:rPr>
          <w:lang w:val="fr-FR"/>
        </w:rPr>
        <w:t xml:space="preserve"> Diagramme en Annexe II</w:t>
      </w:r>
      <w:r w:rsidRPr="00C77AF8">
        <w:rPr>
          <w:lang w:val="fr-FR"/>
        </w:rPr>
        <w:t>.</w:t>
      </w:r>
    </w:p>
  </w:footnote>
  <w:footnote w:id="8">
    <w:p w14:paraId="14C09514" w14:textId="77777777" w:rsidR="00500D2E" w:rsidRPr="00C77AF8" w:rsidRDefault="00500D2E" w:rsidP="00372BFB">
      <w:pPr>
        <w:pStyle w:val="FootnoteText"/>
        <w:jc w:val="both"/>
        <w:rPr>
          <w:lang w:val="fr-FR"/>
        </w:rPr>
      </w:pPr>
      <w:r>
        <w:rPr>
          <w:rStyle w:val="FootnoteReference"/>
        </w:rPr>
        <w:footnoteRef/>
      </w:r>
      <w:r w:rsidRPr="00C77AF8">
        <w:rPr>
          <w:lang w:val="fr-FR"/>
        </w:rPr>
        <w:t xml:space="preserve"> Membres du personnel international et national, V</w:t>
      </w:r>
      <w:r>
        <w:rPr>
          <w:lang w:val="fr-FR"/>
        </w:rPr>
        <w:t>olontaires des Nations</w:t>
      </w:r>
      <w:r w:rsidRPr="00C77AF8">
        <w:rPr>
          <w:lang w:val="fr-FR"/>
        </w:rPr>
        <w:t xml:space="preserve"> Unies (UNV), toutes les catégories de </w:t>
      </w:r>
      <w:r>
        <w:rPr>
          <w:lang w:val="fr-FR"/>
        </w:rPr>
        <w:t>la MI</w:t>
      </w:r>
      <w:r w:rsidRPr="00C77AF8">
        <w:rPr>
          <w:lang w:val="fr-FR"/>
        </w:rPr>
        <w:t>NUSCA</w:t>
      </w:r>
      <w:r>
        <w:rPr>
          <w:lang w:val="fr-FR"/>
        </w:rPr>
        <w:t>,</w:t>
      </w:r>
      <w:r w:rsidRPr="00C77AF8">
        <w:rPr>
          <w:lang w:val="fr-FR"/>
        </w:rPr>
        <w:t xml:space="preserve"> personnel militaire et de police, contractants et consultants de</w:t>
      </w:r>
      <w:r>
        <w:rPr>
          <w:lang w:val="fr-FR"/>
        </w:rPr>
        <w:t>s Nations Unies</w:t>
      </w:r>
      <w:r w:rsidRPr="00C77AF8">
        <w:rPr>
          <w:lang w:val="fr-FR"/>
        </w:rPr>
        <w:t xml:space="preserve">. </w:t>
      </w:r>
    </w:p>
  </w:footnote>
  <w:footnote w:id="9">
    <w:p w14:paraId="230D8070" w14:textId="77777777" w:rsidR="00500D2E" w:rsidRPr="00B10927" w:rsidRDefault="00500D2E" w:rsidP="00DF5689">
      <w:pPr>
        <w:pStyle w:val="LightGrid-Accent31"/>
        <w:ind w:left="0"/>
        <w:jc w:val="both"/>
        <w:rPr>
          <w:sz w:val="24"/>
          <w:szCs w:val="24"/>
          <w:lang w:val="fr-FR"/>
        </w:rPr>
      </w:pPr>
      <w:r>
        <w:rPr>
          <w:rStyle w:val="FootnoteReference"/>
        </w:rPr>
        <w:footnoteRef/>
      </w:r>
      <w:r w:rsidRPr="00C77AF8">
        <w:rPr>
          <w:lang w:val="fr-FR"/>
        </w:rPr>
        <w:t xml:space="preserve"> </w:t>
      </w:r>
      <w:r w:rsidRPr="00E46B74">
        <w:rPr>
          <w:sz w:val="20"/>
          <w:szCs w:val="20"/>
          <w:lang w:val="fr-FR"/>
        </w:rPr>
        <w:t>La Task Force Stratégique se compose des hauts représentants de la Mission et des agences/bureaux du système des Nations Unies dans le pays. Elle est présidée par le SRSG, son ou sa représentant(e) désigné(e), et se rencontre aussi fréquemment que nécessaire.</w:t>
      </w:r>
      <w:r w:rsidRPr="00B10927">
        <w:rPr>
          <w:sz w:val="24"/>
          <w:szCs w:val="24"/>
          <w:lang w:val="fr-FR"/>
        </w:rPr>
        <w:t xml:space="preserve"> </w:t>
      </w:r>
    </w:p>
    <w:p w14:paraId="58051BA2" w14:textId="77777777" w:rsidR="00500D2E" w:rsidRPr="00B10927" w:rsidRDefault="00500D2E" w:rsidP="00DF5689">
      <w:pPr>
        <w:pStyle w:val="FootnoteText"/>
        <w:rPr>
          <w:lang w:val="fr-FR"/>
        </w:rPr>
      </w:pPr>
    </w:p>
  </w:footnote>
  <w:footnote w:id="10">
    <w:p w14:paraId="5701F29D" w14:textId="3C0C2207" w:rsidR="00500D2E" w:rsidRPr="002D2CD1" w:rsidRDefault="00500D2E" w:rsidP="00DF5689">
      <w:pPr>
        <w:pStyle w:val="FootnoteText"/>
        <w:rPr>
          <w:rFonts w:eastAsia="Times New Roman"/>
          <w:lang w:val="fr-FR"/>
        </w:rPr>
      </w:pPr>
      <w:r>
        <w:rPr>
          <w:rStyle w:val="FootnoteReference"/>
        </w:rPr>
        <w:footnoteRef/>
      </w:r>
      <w:r>
        <w:t xml:space="preserve"> </w:t>
      </w:r>
      <w:r>
        <w:rPr>
          <w:rFonts w:eastAsia="Times New Roman"/>
          <w:lang w:val="fr-FR"/>
        </w:rPr>
        <w:t>Le réseau humanitaire EAS comprend les agences des Nations Unies, le CDT/MINUSCA, les ONG et les points focaux gouvernementaux. Ce forum est ouvert. Ses termes de référence figurent à l'annexe V.</w:t>
      </w:r>
    </w:p>
  </w:footnote>
  <w:footnote w:id="11">
    <w:p w14:paraId="00C545EF" w14:textId="75FE5784" w:rsidR="00500D2E" w:rsidRPr="002D2CD1" w:rsidRDefault="00500D2E" w:rsidP="00DF5689">
      <w:pPr>
        <w:pStyle w:val="FootnoteText"/>
        <w:rPr>
          <w:lang w:val="fr-FR"/>
        </w:rPr>
      </w:pPr>
      <w:r>
        <w:rPr>
          <w:rStyle w:val="FootnoteReference"/>
        </w:rPr>
        <w:footnoteRef/>
      </w:r>
      <w:r>
        <w:t xml:space="preserve"> </w:t>
      </w:r>
      <w:r>
        <w:rPr>
          <w:rFonts w:eastAsia="Times New Roman"/>
          <w:lang w:val="fr-FR"/>
        </w:rPr>
        <w:t xml:space="preserve">La Task Force humanitaire EAS est un groupe technique restreint dont les membres sont : UNFPA, HCR, UNICEF, OIM, </w:t>
      </w:r>
      <w:r w:rsidRPr="000B765B">
        <w:rPr>
          <w:rFonts w:eastAsia="Times New Roman"/>
          <w:lang w:val="fr-FR"/>
        </w:rPr>
        <w:t>OCHA,</w:t>
      </w:r>
      <w:r>
        <w:rPr>
          <w:rFonts w:eastAsia="Times New Roman"/>
          <w:lang w:val="fr-FR"/>
        </w:rPr>
        <w:t xml:space="preserve"> CDT/MINUSCA, IRC et DRC. Les TDRs sont fournis à l'annexe 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4390" w14:textId="77777777" w:rsidR="00C36734" w:rsidRDefault="00C36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3626" w14:textId="7E3F1BAE" w:rsidR="00500D2E" w:rsidRDefault="00500D2E" w:rsidP="00AB2037">
    <w:pPr>
      <w:pStyle w:val="Header"/>
      <w:tabs>
        <w:tab w:val="clear" w:pos="4680"/>
        <w:tab w:val="clear" w:pos="9360"/>
        <w:tab w:val="left" w:pos="7545"/>
      </w:tabs>
      <w:ind w:left="720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603F" w14:textId="76260192" w:rsidR="00500D2E" w:rsidRDefault="00500D2E" w:rsidP="00381ACF">
    <w:pPr>
      <w:pStyle w:val="Header"/>
      <w:jc w:val="center"/>
    </w:pPr>
    <w:r w:rsidRPr="004E4F3B">
      <w:rPr>
        <w:rFonts w:ascii="Times New Roman" w:eastAsia="Times New Roman" w:hAnsi="Times New Roman"/>
        <w:noProof/>
        <w:color w:val="0000FF"/>
        <w:sz w:val="24"/>
        <w:szCs w:val="24"/>
        <w:lang w:val="en-US"/>
      </w:rPr>
      <w:drawing>
        <wp:inline distT="0" distB="0" distL="0" distR="0" wp14:anchorId="2B173600" wp14:editId="347F707F">
          <wp:extent cx="119062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0625"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0643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A3F0B"/>
    <w:multiLevelType w:val="hybridMultilevel"/>
    <w:tmpl w:val="51021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3206F"/>
    <w:multiLevelType w:val="hybridMultilevel"/>
    <w:tmpl w:val="0EC2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0852"/>
    <w:multiLevelType w:val="hybridMultilevel"/>
    <w:tmpl w:val="3B50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43065"/>
    <w:multiLevelType w:val="hybridMultilevel"/>
    <w:tmpl w:val="AFA49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CE1D87"/>
    <w:multiLevelType w:val="hybridMultilevel"/>
    <w:tmpl w:val="046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B2459"/>
    <w:multiLevelType w:val="hybridMultilevel"/>
    <w:tmpl w:val="3BA2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F4B06"/>
    <w:multiLevelType w:val="hybridMultilevel"/>
    <w:tmpl w:val="C6788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867009C"/>
    <w:multiLevelType w:val="hybridMultilevel"/>
    <w:tmpl w:val="06D68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AF563E"/>
    <w:multiLevelType w:val="hybridMultilevel"/>
    <w:tmpl w:val="94E0EE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DB5E7B"/>
    <w:multiLevelType w:val="hybridMultilevel"/>
    <w:tmpl w:val="22DCD158"/>
    <w:lvl w:ilvl="0" w:tplc="F8E87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4F5153"/>
    <w:multiLevelType w:val="hybridMultilevel"/>
    <w:tmpl w:val="47FE59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A953C4"/>
    <w:multiLevelType w:val="hybridMultilevel"/>
    <w:tmpl w:val="A42C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E33CA"/>
    <w:multiLevelType w:val="hybridMultilevel"/>
    <w:tmpl w:val="9CD658EA"/>
    <w:lvl w:ilvl="0" w:tplc="83B2DFAE">
      <w:start w:val="1"/>
      <w:numFmt w:val="decimal"/>
      <w:lvlText w:val="%1)"/>
      <w:lvlJc w:val="left"/>
      <w:pPr>
        <w:ind w:left="720" w:hanging="360"/>
      </w:pPr>
      <w:rPr>
        <w:rFonts w:ascii="Arial Narrow" w:eastAsia="SimSun" w:hAnsi="Arial Narrow" w:cs="Arial"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1C108C"/>
    <w:multiLevelType w:val="hybridMultilevel"/>
    <w:tmpl w:val="E472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80501F"/>
    <w:multiLevelType w:val="hybridMultilevel"/>
    <w:tmpl w:val="0B484008"/>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16" w15:restartNumberingAfterBreak="0">
    <w:nsid w:val="1DF1552F"/>
    <w:multiLevelType w:val="hybridMultilevel"/>
    <w:tmpl w:val="57C0C0A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53F8E"/>
    <w:multiLevelType w:val="hybridMultilevel"/>
    <w:tmpl w:val="CCF2E9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76A24"/>
    <w:multiLevelType w:val="hybridMultilevel"/>
    <w:tmpl w:val="469AF04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EE78ED"/>
    <w:multiLevelType w:val="hybridMultilevel"/>
    <w:tmpl w:val="D9A4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DB2835"/>
    <w:multiLevelType w:val="hybridMultilevel"/>
    <w:tmpl w:val="883E5B40"/>
    <w:lvl w:ilvl="0" w:tplc="3B1AD1F0">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F737B4"/>
    <w:multiLevelType w:val="hybridMultilevel"/>
    <w:tmpl w:val="8954D2F4"/>
    <w:lvl w:ilvl="0" w:tplc="08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4B25278"/>
    <w:multiLevelType w:val="hybridMultilevel"/>
    <w:tmpl w:val="1054A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A48DD"/>
    <w:multiLevelType w:val="hybridMultilevel"/>
    <w:tmpl w:val="BD18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05CBB"/>
    <w:multiLevelType w:val="hybridMultilevel"/>
    <w:tmpl w:val="F16AFF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3A5C2C2B"/>
    <w:multiLevelType w:val="hybridMultilevel"/>
    <w:tmpl w:val="B80A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86EA9"/>
    <w:multiLevelType w:val="hybridMultilevel"/>
    <w:tmpl w:val="A4722C7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9167AB"/>
    <w:multiLevelType w:val="hybridMultilevel"/>
    <w:tmpl w:val="C52002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462FFE"/>
    <w:multiLevelType w:val="hybridMultilevel"/>
    <w:tmpl w:val="6ACA5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85912"/>
    <w:multiLevelType w:val="hybridMultilevel"/>
    <w:tmpl w:val="2E4C60AC"/>
    <w:lvl w:ilvl="0" w:tplc="0E2E44A4">
      <w:start w:val="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3F257F"/>
    <w:multiLevelType w:val="hybridMultilevel"/>
    <w:tmpl w:val="88CA149C"/>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1" w15:restartNumberingAfterBreak="0">
    <w:nsid w:val="552E1366"/>
    <w:multiLevelType w:val="hybridMultilevel"/>
    <w:tmpl w:val="E1A03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E3E61"/>
    <w:multiLevelType w:val="hybridMultilevel"/>
    <w:tmpl w:val="97868808"/>
    <w:lvl w:ilvl="0" w:tplc="E362D29E">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BD067F"/>
    <w:multiLevelType w:val="hybridMultilevel"/>
    <w:tmpl w:val="D038A192"/>
    <w:lvl w:ilvl="0" w:tplc="C75822F2">
      <w:start w:val="1"/>
      <w:numFmt w:val="bullet"/>
      <w:lvlText w:val="•"/>
      <w:lvlJc w:val="left"/>
      <w:pPr>
        <w:tabs>
          <w:tab w:val="num" w:pos="717"/>
        </w:tabs>
        <w:ind w:left="717" w:hanging="360"/>
      </w:pPr>
      <w:rPr>
        <w:rFonts w:ascii="Arial" w:hAnsi="Arial" w:hint="default"/>
      </w:rPr>
    </w:lvl>
    <w:lvl w:ilvl="1" w:tplc="FA96ED06" w:tentative="1">
      <w:start w:val="1"/>
      <w:numFmt w:val="bullet"/>
      <w:lvlText w:val="•"/>
      <w:lvlJc w:val="left"/>
      <w:pPr>
        <w:tabs>
          <w:tab w:val="num" w:pos="1437"/>
        </w:tabs>
        <w:ind w:left="1437" w:hanging="360"/>
      </w:pPr>
      <w:rPr>
        <w:rFonts w:ascii="Arial" w:hAnsi="Arial" w:hint="default"/>
      </w:rPr>
    </w:lvl>
    <w:lvl w:ilvl="2" w:tplc="9D348038" w:tentative="1">
      <w:start w:val="1"/>
      <w:numFmt w:val="bullet"/>
      <w:lvlText w:val="•"/>
      <w:lvlJc w:val="left"/>
      <w:pPr>
        <w:tabs>
          <w:tab w:val="num" w:pos="2157"/>
        </w:tabs>
        <w:ind w:left="2157" w:hanging="360"/>
      </w:pPr>
      <w:rPr>
        <w:rFonts w:ascii="Arial" w:hAnsi="Arial" w:hint="default"/>
      </w:rPr>
    </w:lvl>
    <w:lvl w:ilvl="3" w:tplc="550AFB0A" w:tentative="1">
      <w:start w:val="1"/>
      <w:numFmt w:val="bullet"/>
      <w:lvlText w:val="•"/>
      <w:lvlJc w:val="left"/>
      <w:pPr>
        <w:tabs>
          <w:tab w:val="num" w:pos="2877"/>
        </w:tabs>
        <w:ind w:left="2877" w:hanging="360"/>
      </w:pPr>
      <w:rPr>
        <w:rFonts w:ascii="Arial" w:hAnsi="Arial" w:hint="default"/>
      </w:rPr>
    </w:lvl>
    <w:lvl w:ilvl="4" w:tplc="59129914" w:tentative="1">
      <w:start w:val="1"/>
      <w:numFmt w:val="bullet"/>
      <w:lvlText w:val="•"/>
      <w:lvlJc w:val="left"/>
      <w:pPr>
        <w:tabs>
          <w:tab w:val="num" w:pos="3597"/>
        </w:tabs>
        <w:ind w:left="3597" w:hanging="360"/>
      </w:pPr>
      <w:rPr>
        <w:rFonts w:ascii="Arial" w:hAnsi="Arial" w:hint="default"/>
      </w:rPr>
    </w:lvl>
    <w:lvl w:ilvl="5" w:tplc="FB0CA21E" w:tentative="1">
      <w:start w:val="1"/>
      <w:numFmt w:val="bullet"/>
      <w:lvlText w:val="•"/>
      <w:lvlJc w:val="left"/>
      <w:pPr>
        <w:tabs>
          <w:tab w:val="num" w:pos="4317"/>
        </w:tabs>
        <w:ind w:left="4317" w:hanging="360"/>
      </w:pPr>
      <w:rPr>
        <w:rFonts w:ascii="Arial" w:hAnsi="Arial" w:hint="default"/>
      </w:rPr>
    </w:lvl>
    <w:lvl w:ilvl="6" w:tplc="DDC216FC" w:tentative="1">
      <w:start w:val="1"/>
      <w:numFmt w:val="bullet"/>
      <w:lvlText w:val="•"/>
      <w:lvlJc w:val="left"/>
      <w:pPr>
        <w:tabs>
          <w:tab w:val="num" w:pos="5037"/>
        </w:tabs>
        <w:ind w:left="5037" w:hanging="360"/>
      </w:pPr>
      <w:rPr>
        <w:rFonts w:ascii="Arial" w:hAnsi="Arial" w:hint="default"/>
      </w:rPr>
    </w:lvl>
    <w:lvl w:ilvl="7" w:tplc="FF8C311A" w:tentative="1">
      <w:start w:val="1"/>
      <w:numFmt w:val="bullet"/>
      <w:lvlText w:val="•"/>
      <w:lvlJc w:val="left"/>
      <w:pPr>
        <w:tabs>
          <w:tab w:val="num" w:pos="5757"/>
        </w:tabs>
        <w:ind w:left="5757" w:hanging="360"/>
      </w:pPr>
      <w:rPr>
        <w:rFonts w:ascii="Arial" w:hAnsi="Arial" w:hint="default"/>
      </w:rPr>
    </w:lvl>
    <w:lvl w:ilvl="8" w:tplc="11B00F82" w:tentative="1">
      <w:start w:val="1"/>
      <w:numFmt w:val="bullet"/>
      <w:lvlText w:val="•"/>
      <w:lvlJc w:val="left"/>
      <w:pPr>
        <w:tabs>
          <w:tab w:val="num" w:pos="6477"/>
        </w:tabs>
        <w:ind w:left="6477" w:hanging="360"/>
      </w:pPr>
      <w:rPr>
        <w:rFonts w:ascii="Arial" w:hAnsi="Arial" w:hint="default"/>
      </w:rPr>
    </w:lvl>
  </w:abstractNum>
  <w:abstractNum w:abstractNumId="34" w15:restartNumberingAfterBreak="0">
    <w:nsid w:val="5A233EAD"/>
    <w:multiLevelType w:val="hybridMultilevel"/>
    <w:tmpl w:val="73F4F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B42B0C"/>
    <w:multiLevelType w:val="hybridMultilevel"/>
    <w:tmpl w:val="AA4A8812"/>
    <w:lvl w:ilvl="0" w:tplc="08090003">
      <w:start w:val="1"/>
      <w:numFmt w:val="bullet"/>
      <w:lvlText w:val="o"/>
      <w:lvlJc w:val="left"/>
      <w:pPr>
        <w:ind w:left="1068" w:hanging="360"/>
      </w:pPr>
      <w:rPr>
        <w:rFonts w:ascii="Courier New" w:hAnsi="Courier New" w:cs="Courier New" w:hint="default"/>
      </w:rPr>
    </w:lvl>
    <w:lvl w:ilvl="1" w:tplc="0809000B">
      <w:start w:val="1"/>
      <w:numFmt w:val="bullet"/>
      <w:lvlText w:val=""/>
      <w:lvlJc w:val="left"/>
      <w:pPr>
        <w:ind w:left="1788" w:hanging="360"/>
      </w:pPr>
      <w:rPr>
        <w:rFonts w:ascii="Wingdings" w:hAnsi="Wingdings"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36" w15:restartNumberingAfterBreak="0">
    <w:nsid w:val="5F8F3F4E"/>
    <w:multiLevelType w:val="hybridMultilevel"/>
    <w:tmpl w:val="16807D4A"/>
    <w:lvl w:ilvl="0" w:tplc="E0B03B40">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D761E4"/>
    <w:multiLevelType w:val="hybridMultilevel"/>
    <w:tmpl w:val="42B4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03D5E"/>
    <w:multiLevelType w:val="hybridMultilevel"/>
    <w:tmpl w:val="10D28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69484E"/>
    <w:multiLevelType w:val="hybridMultilevel"/>
    <w:tmpl w:val="5D7E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A76381"/>
    <w:multiLevelType w:val="hybridMultilevel"/>
    <w:tmpl w:val="BD18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55301B"/>
    <w:multiLevelType w:val="hybridMultilevel"/>
    <w:tmpl w:val="97425EB8"/>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60698"/>
    <w:multiLevelType w:val="hybridMultilevel"/>
    <w:tmpl w:val="62EA1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41375"/>
    <w:multiLevelType w:val="hybridMultilevel"/>
    <w:tmpl w:val="B566A0C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3F1C60"/>
    <w:multiLevelType w:val="hybridMultilevel"/>
    <w:tmpl w:val="A5A8B83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0"/>
  </w:num>
  <w:num w:numId="4">
    <w:abstractNumId w:val="23"/>
  </w:num>
  <w:num w:numId="5">
    <w:abstractNumId w:val="40"/>
  </w:num>
  <w:num w:numId="6">
    <w:abstractNumId w:val="42"/>
  </w:num>
  <w:num w:numId="7">
    <w:abstractNumId w:val="37"/>
  </w:num>
  <w:num w:numId="8">
    <w:abstractNumId w:val="43"/>
  </w:num>
  <w:num w:numId="9">
    <w:abstractNumId w:val="39"/>
  </w:num>
  <w:num w:numId="10">
    <w:abstractNumId w:val="5"/>
  </w:num>
  <w:num w:numId="11">
    <w:abstractNumId w:val="12"/>
  </w:num>
  <w:num w:numId="12">
    <w:abstractNumId w:val="17"/>
  </w:num>
  <w:num w:numId="13">
    <w:abstractNumId w:val="6"/>
  </w:num>
  <w:num w:numId="14">
    <w:abstractNumId w:val="36"/>
  </w:num>
  <w:num w:numId="15">
    <w:abstractNumId w:val="35"/>
  </w:num>
  <w:num w:numId="16">
    <w:abstractNumId w:val="20"/>
  </w:num>
  <w:num w:numId="17">
    <w:abstractNumId w:val="32"/>
  </w:num>
  <w:num w:numId="18">
    <w:abstractNumId w:val="26"/>
  </w:num>
  <w:num w:numId="19">
    <w:abstractNumId w:val="14"/>
  </w:num>
  <w:num w:numId="20">
    <w:abstractNumId w:val="2"/>
  </w:num>
  <w:num w:numId="21">
    <w:abstractNumId w:val="18"/>
  </w:num>
  <w:num w:numId="22">
    <w:abstractNumId w:val="9"/>
  </w:num>
  <w:num w:numId="23">
    <w:abstractNumId w:val="38"/>
  </w:num>
  <w:num w:numId="24">
    <w:abstractNumId w:val="8"/>
  </w:num>
  <w:num w:numId="25">
    <w:abstractNumId w:val="13"/>
  </w:num>
  <w:num w:numId="26">
    <w:abstractNumId w:val="24"/>
  </w:num>
  <w:num w:numId="27">
    <w:abstractNumId w:val="22"/>
  </w:num>
  <w:num w:numId="28">
    <w:abstractNumId w:val="27"/>
  </w:num>
  <w:num w:numId="29">
    <w:abstractNumId w:val="41"/>
  </w:num>
  <w:num w:numId="30">
    <w:abstractNumId w:val="16"/>
  </w:num>
  <w:num w:numId="31">
    <w:abstractNumId w:val="15"/>
  </w:num>
  <w:num w:numId="32">
    <w:abstractNumId w:val="21"/>
  </w:num>
  <w:num w:numId="33">
    <w:abstractNumId w:val="25"/>
  </w:num>
  <w:num w:numId="34">
    <w:abstractNumId w:val="19"/>
  </w:num>
  <w:num w:numId="35">
    <w:abstractNumId w:val="7"/>
  </w:num>
  <w:num w:numId="36">
    <w:abstractNumId w:val="4"/>
  </w:num>
  <w:num w:numId="37">
    <w:abstractNumId w:val="30"/>
  </w:num>
  <w:num w:numId="38">
    <w:abstractNumId w:val="31"/>
  </w:num>
  <w:num w:numId="39">
    <w:abstractNumId w:val="33"/>
  </w:num>
  <w:num w:numId="40">
    <w:abstractNumId w:val="10"/>
  </w:num>
  <w:num w:numId="41">
    <w:abstractNumId w:val="28"/>
  </w:num>
  <w:num w:numId="42">
    <w:abstractNumId w:val="11"/>
  </w:num>
  <w:num w:numId="43">
    <w:abstractNumId w:val="44"/>
  </w:num>
  <w:num w:numId="44">
    <w:abstractNumId w:val="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283"/>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E0"/>
    <w:rsid w:val="0000044B"/>
    <w:rsid w:val="0000122F"/>
    <w:rsid w:val="000035D4"/>
    <w:rsid w:val="00007E20"/>
    <w:rsid w:val="000107E7"/>
    <w:rsid w:val="00013004"/>
    <w:rsid w:val="00013988"/>
    <w:rsid w:val="00013B3D"/>
    <w:rsid w:val="0001513F"/>
    <w:rsid w:val="00021F2A"/>
    <w:rsid w:val="00023836"/>
    <w:rsid w:val="000265A7"/>
    <w:rsid w:val="000269B6"/>
    <w:rsid w:val="00032E44"/>
    <w:rsid w:val="000334FC"/>
    <w:rsid w:val="00041882"/>
    <w:rsid w:val="00042029"/>
    <w:rsid w:val="0004224F"/>
    <w:rsid w:val="0004282E"/>
    <w:rsid w:val="00045E7A"/>
    <w:rsid w:val="00050ABE"/>
    <w:rsid w:val="00056BD0"/>
    <w:rsid w:val="0005791B"/>
    <w:rsid w:val="000613B4"/>
    <w:rsid w:val="00062B7D"/>
    <w:rsid w:val="00062F66"/>
    <w:rsid w:val="000650E5"/>
    <w:rsid w:val="00070375"/>
    <w:rsid w:val="00070928"/>
    <w:rsid w:val="0007271B"/>
    <w:rsid w:val="00072C7B"/>
    <w:rsid w:val="00073766"/>
    <w:rsid w:val="00075DBB"/>
    <w:rsid w:val="00085487"/>
    <w:rsid w:val="00087359"/>
    <w:rsid w:val="000901BA"/>
    <w:rsid w:val="00093035"/>
    <w:rsid w:val="0009303D"/>
    <w:rsid w:val="000934D2"/>
    <w:rsid w:val="000956DE"/>
    <w:rsid w:val="0009582F"/>
    <w:rsid w:val="00095D95"/>
    <w:rsid w:val="000972EF"/>
    <w:rsid w:val="00097E60"/>
    <w:rsid w:val="000A027F"/>
    <w:rsid w:val="000A1DD7"/>
    <w:rsid w:val="000A291D"/>
    <w:rsid w:val="000A4B97"/>
    <w:rsid w:val="000A5177"/>
    <w:rsid w:val="000A5240"/>
    <w:rsid w:val="000A5A75"/>
    <w:rsid w:val="000A5D01"/>
    <w:rsid w:val="000A5DB8"/>
    <w:rsid w:val="000B1BEF"/>
    <w:rsid w:val="000B5B77"/>
    <w:rsid w:val="000C178C"/>
    <w:rsid w:val="000C610B"/>
    <w:rsid w:val="000C6C06"/>
    <w:rsid w:val="000C7435"/>
    <w:rsid w:val="000D17C2"/>
    <w:rsid w:val="000D20A6"/>
    <w:rsid w:val="000D26CE"/>
    <w:rsid w:val="000D2784"/>
    <w:rsid w:val="000D58DB"/>
    <w:rsid w:val="000D5C06"/>
    <w:rsid w:val="000D672A"/>
    <w:rsid w:val="000D79C0"/>
    <w:rsid w:val="000E081E"/>
    <w:rsid w:val="000E18BA"/>
    <w:rsid w:val="000E2442"/>
    <w:rsid w:val="000E6A83"/>
    <w:rsid w:val="000E7E3B"/>
    <w:rsid w:val="000F0C2B"/>
    <w:rsid w:val="000F14BC"/>
    <w:rsid w:val="000F1CED"/>
    <w:rsid w:val="000F2499"/>
    <w:rsid w:val="000F28E1"/>
    <w:rsid w:val="000F2E5F"/>
    <w:rsid w:val="000F37CD"/>
    <w:rsid w:val="00101443"/>
    <w:rsid w:val="00102D9C"/>
    <w:rsid w:val="00103390"/>
    <w:rsid w:val="00104CC6"/>
    <w:rsid w:val="00111835"/>
    <w:rsid w:val="00114D4E"/>
    <w:rsid w:val="00114ED6"/>
    <w:rsid w:val="00120B7B"/>
    <w:rsid w:val="00123394"/>
    <w:rsid w:val="001236C4"/>
    <w:rsid w:val="00125F21"/>
    <w:rsid w:val="0012656D"/>
    <w:rsid w:val="00126A46"/>
    <w:rsid w:val="00126CBA"/>
    <w:rsid w:val="001279ED"/>
    <w:rsid w:val="001301AA"/>
    <w:rsid w:val="001317AD"/>
    <w:rsid w:val="0013189A"/>
    <w:rsid w:val="00133495"/>
    <w:rsid w:val="001359BC"/>
    <w:rsid w:val="00135D2E"/>
    <w:rsid w:val="00136111"/>
    <w:rsid w:val="00136B15"/>
    <w:rsid w:val="00140371"/>
    <w:rsid w:val="00141816"/>
    <w:rsid w:val="001451BA"/>
    <w:rsid w:val="00146D6C"/>
    <w:rsid w:val="00147E01"/>
    <w:rsid w:val="00151C29"/>
    <w:rsid w:val="00153301"/>
    <w:rsid w:val="00160CE3"/>
    <w:rsid w:val="00160FF4"/>
    <w:rsid w:val="0016115A"/>
    <w:rsid w:val="00161B10"/>
    <w:rsid w:val="00163AB1"/>
    <w:rsid w:val="00163B3D"/>
    <w:rsid w:val="00163BE2"/>
    <w:rsid w:val="0016496B"/>
    <w:rsid w:val="001676E1"/>
    <w:rsid w:val="00172311"/>
    <w:rsid w:val="0017291E"/>
    <w:rsid w:val="0017317D"/>
    <w:rsid w:val="00180E3A"/>
    <w:rsid w:val="0018123C"/>
    <w:rsid w:val="00184339"/>
    <w:rsid w:val="00195326"/>
    <w:rsid w:val="001968E6"/>
    <w:rsid w:val="0019765A"/>
    <w:rsid w:val="001A0EC1"/>
    <w:rsid w:val="001A177D"/>
    <w:rsid w:val="001A27E5"/>
    <w:rsid w:val="001A51D6"/>
    <w:rsid w:val="001A5241"/>
    <w:rsid w:val="001A7F70"/>
    <w:rsid w:val="001B4D2E"/>
    <w:rsid w:val="001B78D2"/>
    <w:rsid w:val="001C36D5"/>
    <w:rsid w:val="001C40CE"/>
    <w:rsid w:val="001C4B63"/>
    <w:rsid w:val="001C75CE"/>
    <w:rsid w:val="001D016D"/>
    <w:rsid w:val="001D2E8D"/>
    <w:rsid w:val="001D33BF"/>
    <w:rsid w:val="001D3F53"/>
    <w:rsid w:val="001D4089"/>
    <w:rsid w:val="001D5C3D"/>
    <w:rsid w:val="001E1DC8"/>
    <w:rsid w:val="001E2E3B"/>
    <w:rsid w:val="001E3476"/>
    <w:rsid w:val="001E547C"/>
    <w:rsid w:val="001E79F1"/>
    <w:rsid w:val="001F2514"/>
    <w:rsid w:val="001F2E12"/>
    <w:rsid w:val="001F446C"/>
    <w:rsid w:val="001F4E61"/>
    <w:rsid w:val="002013CB"/>
    <w:rsid w:val="00202E79"/>
    <w:rsid w:val="00206B77"/>
    <w:rsid w:val="00211FB3"/>
    <w:rsid w:val="002121B1"/>
    <w:rsid w:val="00213FB5"/>
    <w:rsid w:val="0021430B"/>
    <w:rsid w:val="0021556D"/>
    <w:rsid w:val="002157DF"/>
    <w:rsid w:val="00217132"/>
    <w:rsid w:val="00221576"/>
    <w:rsid w:val="00223B2F"/>
    <w:rsid w:val="00227D95"/>
    <w:rsid w:val="00232D47"/>
    <w:rsid w:val="002357BB"/>
    <w:rsid w:val="00241B90"/>
    <w:rsid w:val="00246AA4"/>
    <w:rsid w:val="00250279"/>
    <w:rsid w:val="002515C1"/>
    <w:rsid w:val="00256137"/>
    <w:rsid w:val="002621BD"/>
    <w:rsid w:val="00265567"/>
    <w:rsid w:val="00272F97"/>
    <w:rsid w:val="002823EF"/>
    <w:rsid w:val="002828FB"/>
    <w:rsid w:val="00283744"/>
    <w:rsid w:val="00291AE0"/>
    <w:rsid w:val="00292E0B"/>
    <w:rsid w:val="00292F9F"/>
    <w:rsid w:val="00294660"/>
    <w:rsid w:val="002A0BFD"/>
    <w:rsid w:val="002A1E6B"/>
    <w:rsid w:val="002A6FB0"/>
    <w:rsid w:val="002A72EC"/>
    <w:rsid w:val="002A74EF"/>
    <w:rsid w:val="002B0EC8"/>
    <w:rsid w:val="002B1B94"/>
    <w:rsid w:val="002B276A"/>
    <w:rsid w:val="002B6344"/>
    <w:rsid w:val="002B7E79"/>
    <w:rsid w:val="002C28A1"/>
    <w:rsid w:val="002C391A"/>
    <w:rsid w:val="002C5167"/>
    <w:rsid w:val="002D2515"/>
    <w:rsid w:val="002D27BC"/>
    <w:rsid w:val="002D3366"/>
    <w:rsid w:val="002D4E18"/>
    <w:rsid w:val="002D5C21"/>
    <w:rsid w:val="002D6766"/>
    <w:rsid w:val="002E0864"/>
    <w:rsid w:val="002E6A04"/>
    <w:rsid w:val="002E6DAF"/>
    <w:rsid w:val="002F0A81"/>
    <w:rsid w:val="002F0D2B"/>
    <w:rsid w:val="002F1F77"/>
    <w:rsid w:val="002F3DE7"/>
    <w:rsid w:val="002F4304"/>
    <w:rsid w:val="00305A36"/>
    <w:rsid w:val="00306B87"/>
    <w:rsid w:val="00306C55"/>
    <w:rsid w:val="00307C14"/>
    <w:rsid w:val="00310114"/>
    <w:rsid w:val="00310E6C"/>
    <w:rsid w:val="00311022"/>
    <w:rsid w:val="00311AC0"/>
    <w:rsid w:val="00314232"/>
    <w:rsid w:val="00315822"/>
    <w:rsid w:val="00315F95"/>
    <w:rsid w:val="00316B03"/>
    <w:rsid w:val="00317D35"/>
    <w:rsid w:val="00323985"/>
    <w:rsid w:val="00324FE3"/>
    <w:rsid w:val="003313B4"/>
    <w:rsid w:val="00331409"/>
    <w:rsid w:val="00343951"/>
    <w:rsid w:val="00347AE8"/>
    <w:rsid w:val="00351BDA"/>
    <w:rsid w:val="00355A98"/>
    <w:rsid w:val="00355EE1"/>
    <w:rsid w:val="00357789"/>
    <w:rsid w:val="00357D04"/>
    <w:rsid w:val="00362304"/>
    <w:rsid w:val="00364EBB"/>
    <w:rsid w:val="00366AB8"/>
    <w:rsid w:val="00370CB7"/>
    <w:rsid w:val="00370FC6"/>
    <w:rsid w:val="00371430"/>
    <w:rsid w:val="003729DE"/>
    <w:rsid w:val="00372BFB"/>
    <w:rsid w:val="00372C64"/>
    <w:rsid w:val="00373310"/>
    <w:rsid w:val="00373AFC"/>
    <w:rsid w:val="00375B21"/>
    <w:rsid w:val="00377C44"/>
    <w:rsid w:val="0038003E"/>
    <w:rsid w:val="00380BC9"/>
    <w:rsid w:val="00381578"/>
    <w:rsid w:val="00381ACF"/>
    <w:rsid w:val="003821AD"/>
    <w:rsid w:val="003845FE"/>
    <w:rsid w:val="00384715"/>
    <w:rsid w:val="0038523C"/>
    <w:rsid w:val="00391E9A"/>
    <w:rsid w:val="003922A6"/>
    <w:rsid w:val="003942B9"/>
    <w:rsid w:val="003948E0"/>
    <w:rsid w:val="00397A85"/>
    <w:rsid w:val="003A2A3F"/>
    <w:rsid w:val="003A2D3B"/>
    <w:rsid w:val="003A4C51"/>
    <w:rsid w:val="003A68F4"/>
    <w:rsid w:val="003B003F"/>
    <w:rsid w:val="003B04EE"/>
    <w:rsid w:val="003B0753"/>
    <w:rsid w:val="003B0ECC"/>
    <w:rsid w:val="003B210C"/>
    <w:rsid w:val="003B4B17"/>
    <w:rsid w:val="003B5DEA"/>
    <w:rsid w:val="003B7C76"/>
    <w:rsid w:val="003C2E13"/>
    <w:rsid w:val="003C354F"/>
    <w:rsid w:val="003C3C11"/>
    <w:rsid w:val="003D052F"/>
    <w:rsid w:val="003D09C9"/>
    <w:rsid w:val="003D19EB"/>
    <w:rsid w:val="003D2FE2"/>
    <w:rsid w:val="003D4E53"/>
    <w:rsid w:val="003D64CD"/>
    <w:rsid w:val="003E2B48"/>
    <w:rsid w:val="003E3D9D"/>
    <w:rsid w:val="003E4C96"/>
    <w:rsid w:val="003E5603"/>
    <w:rsid w:val="003E731C"/>
    <w:rsid w:val="003E7716"/>
    <w:rsid w:val="003F0CAA"/>
    <w:rsid w:val="003F2042"/>
    <w:rsid w:val="003F5ED7"/>
    <w:rsid w:val="00400031"/>
    <w:rsid w:val="004004C6"/>
    <w:rsid w:val="004020B3"/>
    <w:rsid w:val="00402696"/>
    <w:rsid w:val="00402796"/>
    <w:rsid w:val="004040A4"/>
    <w:rsid w:val="0040662A"/>
    <w:rsid w:val="00406F0C"/>
    <w:rsid w:val="00411CE4"/>
    <w:rsid w:val="00412B10"/>
    <w:rsid w:val="00413922"/>
    <w:rsid w:val="004156B0"/>
    <w:rsid w:val="004168CA"/>
    <w:rsid w:val="00416D47"/>
    <w:rsid w:val="0042018E"/>
    <w:rsid w:val="0042057B"/>
    <w:rsid w:val="004208BA"/>
    <w:rsid w:val="00421588"/>
    <w:rsid w:val="00421FCA"/>
    <w:rsid w:val="004231BF"/>
    <w:rsid w:val="00423AE9"/>
    <w:rsid w:val="00423D5B"/>
    <w:rsid w:val="00424A22"/>
    <w:rsid w:val="0043061B"/>
    <w:rsid w:val="0043324C"/>
    <w:rsid w:val="0043343E"/>
    <w:rsid w:val="004337A8"/>
    <w:rsid w:val="00435381"/>
    <w:rsid w:val="0043553D"/>
    <w:rsid w:val="00445970"/>
    <w:rsid w:val="004459B3"/>
    <w:rsid w:val="00447EED"/>
    <w:rsid w:val="00450F05"/>
    <w:rsid w:val="004516AA"/>
    <w:rsid w:val="00461329"/>
    <w:rsid w:val="004618ED"/>
    <w:rsid w:val="00461D06"/>
    <w:rsid w:val="004633A8"/>
    <w:rsid w:val="0046565F"/>
    <w:rsid w:val="00465991"/>
    <w:rsid w:val="00470B94"/>
    <w:rsid w:val="00471942"/>
    <w:rsid w:val="00471991"/>
    <w:rsid w:val="0047467F"/>
    <w:rsid w:val="004746FC"/>
    <w:rsid w:val="004818F8"/>
    <w:rsid w:val="004832B7"/>
    <w:rsid w:val="004837B0"/>
    <w:rsid w:val="00485B4A"/>
    <w:rsid w:val="00486657"/>
    <w:rsid w:val="0049100E"/>
    <w:rsid w:val="004911F0"/>
    <w:rsid w:val="00493D19"/>
    <w:rsid w:val="00496F8B"/>
    <w:rsid w:val="004A0A07"/>
    <w:rsid w:val="004A109F"/>
    <w:rsid w:val="004A1302"/>
    <w:rsid w:val="004A2348"/>
    <w:rsid w:val="004A2AC4"/>
    <w:rsid w:val="004A2EA5"/>
    <w:rsid w:val="004A3659"/>
    <w:rsid w:val="004A434D"/>
    <w:rsid w:val="004A5719"/>
    <w:rsid w:val="004A7FB4"/>
    <w:rsid w:val="004B1564"/>
    <w:rsid w:val="004B2B46"/>
    <w:rsid w:val="004B32DE"/>
    <w:rsid w:val="004B3632"/>
    <w:rsid w:val="004B3D58"/>
    <w:rsid w:val="004B6A12"/>
    <w:rsid w:val="004B7EFE"/>
    <w:rsid w:val="004C2991"/>
    <w:rsid w:val="004C2CD0"/>
    <w:rsid w:val="004C38BF"/>
    <w:rsid w:val="004C4AD2"/>
    <w:rsid w:val="004C4CBD"/>
    <w:rsid w:val="004C4F44"/>
    <w:rsid w:val="004C6143"/>
    <w:rsid w:val="004C6710"/>
    <w:rsid w:val="004D3282"/>
    <w:rsid w:val="004D3413"/>
    <w:rsid w:val="004D51A8"/>
    <w:rsid w:val="004D74C9"/>
    <w:rsid w:val="004D7C16"/>
    <w:rsid w:val="004E0D0D"/>
    <w:rsid w:val="004E4F3B"/>
    <w:rsid w:val="004E7924"/>
    <w:rsid w:val="004F0286"/>
    <w:rsid w:val="004F26FA"/>
    <w:rsid w:val="004F2C26"/>
    <w:rsid w:val="004F65E8"/>
    <w:rsid w:val="004F7EF5"/>
    <w:rsid w:val="00500B59"/>
    <w:rsid w:val="00500D2E"/>
    <w:rsid w:val="00501481"/>
    <w:rsid w:val="005030E0"/>
    <w:rsid w:val="00505A3C"/>
    <w:rsid w:val="00505FAA"/>
    <w:rsid w:val="00507866"/>
    <w:rsid w:val="00510141"/>
    <w:rsid w:val="0051561E"/>
    <w:rsid w:val="00517C1F"/>
    <w:rsid w:val="00522197"/>
    <w:rsid w:val="00526766"/>
    <w:rsid w:val="00527C3B"/>
    <w:rsid w:val="005310A3"/>
    <w:rsid w:val="00534231"/>
    <w:rsid w:val="00540026"/>
    <w:rsid w:val="00541E08"/>
    <w:rsid w:val="0054310B"/>
    <w:rsid w:val="00544628"/>
    <w:rsid w:val="005506BF"/>
    <w:rsid w:val="00550DE1"/>
    <w:rsid w:val="005535ED"/>
    <w:rsid w:val="00554AF1"/>
    <w:rsid w:val="00555F20"/>
    <w:rsid w:val="0055605B"/>
    <w:rsid w:val="00556CB2"/>
    <w:rsid w:val="005578E4"/>
    <w:rsid w:val="00560DEC"/>
    <w:rsid w:val="005662B0"/>
    <w:rsid w:val="0057046C"/>
    <w:rsid w:val="00570E5D"/>
    <w:rsid w:val="00571C2A"/>
    <w:rsid w:val="00574F9E"/>
    <w:rsid w:val="00575868"/>
    <w:rsid w:val="00576F03"/>
    <w:rsid w:val="00584B8C"/>
    <w:rsid w:val="00587B76"/>
    <w:rsid w:val="00594935"/>
    <w:rsid w:val="005A0CBD"/>
    <w:rsid w:val="005A11D6"/>
    <w:rsid w:val="005A3CD5"/>
    <w:rsid w:val="005A3F6F"/>
    <w:rsid w:val="005A5F72"/>
    <w:rsid w:val="005B6608"/>
    <w:rsid w:val="005B6FD4"/>
    <w:rsid w:val="005C1567"/>
    <w:rsid w:val="005C4DE8"/>
    <w:rsid w:val="005C6D71"/>
    <w:rsid w:val="005C7D17"/>
    <w:rsid w:val="005D10D1"/>
    <w:rsid w:val="005D31F0"/>
    <w:rsid w:val="005D6827"/>
    <w:rsid w:val="005E0146"/>
    <w:rsid w:val="005E2474"/>
    <w:rsid w:val="005E40F1"/>
    <w:rsid w:val="005E72D3"/>
    <w:rsid w:val="005F196C"/>
    <w:rsid w:val="005F26E4"/>
    <w:rsid w:val="005F335B"/>
    <w:rsid w:val="0060129F"/>
    <w:rsid w:val="00601318"/>
    <w:rsid w:val="00605007"/>
    <w:rsid w:val="00605025"/>
    <w:rsid w:val="006051A8"/>
    <w:rsid w:val="00605667"/>
    <w:rsid w:val="006059C2"/>
    <w:rsid w:val="00610942"/>
    <w:rsid w:val="006109AF"/>
    <w:rsid w:val="00611960"/>
    <w:rsid w:val="0061373F"/>
    <w:rsid w:val="006138F4"/>
    <w:rsid w:val="00614888"/>
    <w:rsid w:val="00615F7C"/>
    <w:rsid w:val="00624331"/>
    <w:rsid w:val="00626490"/>
    <w:rsid w:val="006303FF"/>
    <w:rsid w:val="006333D3"/>
    <w:rsid w:val="00633C43"/>
    <w:rsid w:val="00633E91"/>
    <w:rsid w:val="006342F4"/>
    <w:rsid w:val="00636AA4"/>
    <w:rsid w:val="00644B2F"/>
    <w:rsid w:val="0064527D"/>
    <w:rsid w:val="00645285"/>
    <w:rsid w:val="00645C6A"/>
    <w:rsid w:val="006475F2"/>
    <w:rsid w:val="0064782D"/>
    <w:rsid w:val="0065083D"/>
    <w:rsid w:val="00652818"/>
    <w:rsid w:val="006537D9"/>
    <w:rsid w:val="00653CF1"/>
    <w:rsid w:val="00654D73"/>
    <w:rsid w:val="00660030"/>
    <w:rsid w:val="006604E2"/>
    <w:rsid w:val="00660567"/>
    <w:rsid w:val="006630EB"/>
    <w:rsid w:val="0066482B"/>
    <w:rsid w:val="00666371"/>
    <w:rsid w:val="00671CEA"/>
    <w:rsid w:val="0067281D"/>
    <w:rsid w:val="0067322A"/>
    <w:rsid w:val="00675682"/>
    <w:rsid w:val="00677C99"/>
    <w:rsid w:val="00683627"/>
    <w:rsid w:val="0068438B"/>
    <w:rsid w:val="006877F7"/>
    <w:rsid w:val="006879FB"/>
    <w:rsid w:val="0069198B"/>
    <w:rsid w:val="00696EF3"/>
    <w:rsid w:val="00697731"/>
    <w:rsid w:val="006A0EBF"/>
    <w:rsid w:val="006A16C3"/>
    <w:rsid w:val="006A179E"/>
    <w:rsid w:val="006A314F"/>
    <w:rsid w:val="006A4B72"/>
    <w:rsid w:val="006A5361"/>
    <w:rsid w:val="006A6F7A"/>
    <w:rsid w:val="006B1432"/>
    <w:rsid w:val="006B1EB9"/>
    <w:rsid w:val="006B2EF3"/>
    <w:rsid w:val="006B56A3"/>
    <w:rsid w:val="006C292C"/>
    <w:rsid w:val="006C3839"/>
    <w:rsid w:val="006C38A6"/>
    <w:rsid w:val="006C5937"/>
    <w:rsid w:val="006C6378"/>
    <w:rsid w:val="006C6724"/>
    <w:rsid w:val="006C6F29"/>
    <w:rsid w:val="006C7EA3"/>
    <w:rsid w:val="006D167F"/>
    <w:rsid w:val="006D3B50"/>
    <w:rsid w:val="006D52E7"/>
    <w:rsid w:val="006D5C9D"/>
    <w:rsid w:val="006D67F2"/>
    <w:rsid w:val="006E15EA"/>
    <w:rsid w:val="006E17C6"/>
    <w:rsid w:val="006E18F2"/>
    <w:rsid w:val="006E2B86"/>
    <w:rsid w:val="006E58FA"/>
    <w:rsid w:val="006F07B0"/>
    <w:rsid w:val="006F0B82"/>
    <w:rsid w:val="006F1357"/>
    <w:rsid w:val="006F21D4"/>
    <w:rsid w:val="006F4B05"/>
    <w:rsid w:val="00702595"/>
    <w:rsid w:val="007051D7"/>
    <w:rsid w:val="00705E28"/>
    <w:rsid w:val="0070632B"/>
    <w:rsid w:val="00710144"/>
    <w:rsid w:val="00710202"/>
    <w:rsid w:val="00714588"/>
    <w:rsid w:val="007160BC"/>
    <w:rsid w:val="00716E7F"/>
    <w:rsid w:val="00721391"/>
    <w:rsid w:val="0072155C"/>
    <w:rsid w:val="00721ACF"/>
    <w:rsid w:val="00723D50"/>
    <w:rsid w:val="0072406B"/>
    <w:rsid w:val="00724B39"/>
    <w:rsid w:val="00724CB1"/>
    <w:rsid w:val="0072546C"/>
    <w:rsid w:val="007266A0"/>
    <w:rsid w:val="00727598"/>
    <w:rsid w:val="007325B3"/>
    <w:rsid w:val="00735112"/>
    <w:rsid w:val="0074083E"/>
    <w:rsid w:val="007424DE"/>
    <w:rsid w:val="00742D88"/>
    <w:rsid w:val="007431D8"/>
    <w:rsid w:val="00743677"/>
    <w:rsid w:val="00744DA3"/>
    <w:rsid w:val="007465AD"/>
    <w:rsid w:val="00747D19"/>
    <w:rsid w:val="00747EBF"/>
    <w:rsid w:val="007506F8"/>
    <w:rsid w:val="00751927"/>
    <w:rsid w:val="00752536"/>
    <w:rsid w:val="00752D76"/>
    <w:rsid w:val="00757165"/>
    <w:rsid w:val="00771B85"/>
    <w:rsid w:val="007729C0"/>
    <w:rsid w:val="00773328"/>
    <w:rsid w:val="00774CD1"/>
    <w:rsid w:val="007759D0"/>
    <w:rsid w:val="00776907"/>
    <w:rsid w:val="00777385"/>
    <w:rsid w:val="00777D22"/>
    <w:rsid w:val="00780578"/>
    <w:rsid w:val="007817CB"/>
    <w:rsid w:val="00782200"/>
    <w:rsid w:val="00782999"/>
    <w:rsid w:val="00782EB1"/>
    <w:rsid w:val="00783E08"/>
    <w:rsid w:val="00790E97"/>
    <w:rsid w:val="007929C8"/>
    <w:rsid w:val="00792A65"/>
    <w:rsid w:val="007933ED"/>
    <w:rsid w:val="00794194"/>
    <w:rsid w:val="00794A03"/>
    <w:rsid w:val="007A0A64"/>
    <w:rsid w:val="007A0E11"/>
    <w:rsid w:val="007A19CF"/>
    <w:rsid w:val="007B3887"/>
    <w:rsid w:val="007B47DC"/>
    <w:rsid w:val="007B6169"/>
    <w:rsid w:val="007B7999"/>
    <w:rsid w:val="007C42D5"/>
    <w:rsid w:val="007C5C27"/>
    <w:rsid w:val="007D02F8"/>
    <w:rsid w:val="007D0395"/>
    <w:rsid w:val="007D0B56"/>
    <w:rsid w:val="007D2ADF"/>
    <w:rsid w:val="007E2EF5"/>
    <w:rsid w:val="007E4275"/>
    <w:rsid w:val="007F03AD"/>
    <w:rsid w:val="007F256F"/>
    <w:rsid w:val="008046A9"/>
    <w:rsid w:val="00810732"/>
    <w:rsid w:val="00812EB5"/>
    <w:rsid w:val="00813E49"/>
    <w:rsid w:val="00815684"/>
    <w:rsid w:val="0081783F"/>
    <w:rsid w:val="00817DB4"/>
    <w:rsid w:val="00820192"/>
    <w:rsid w:val="00820E0F"/>
    <w:rsid w:val="008229D4"/>
    <w:rsid w:val="00825352"/>
    <w:rsid w:val="00834882"/>
    <w:rsid w:val="00836170"/>
    <w:rsid w:val="00841373"/>
    <w:rsid w:val="0084403E"/>
    <w:rsid w:val="00844FB9"/>
    <w:rsid w:val="008463DC"/>
    <w:rsid w:val="008465CB"/>
    <w:rsid w:val="00846738"/>
    <w:rsid w:val="00851322"/>
    <w:rsid w:val="0085187B"/>
    <w:rsid w:val="0085536A"/>
    <w:rsid w:val="008569C0"/>
    <w:rsid w:val="00856DE8"/>
    <w:rsid w:val="00857383"/>
    <w:rsid w:val="00857E0B"/>
    <w:rsid w:val="008618EB"/>
    <w:rsid w:val="00863072"/>
    <w:rsid w:val="00864DF2"/>
    <w:rsid w:val="00866EC3"/>
    <w:rsid w:val="008729A1"/>
    <w:rsid w:val="008748BB"/>
    <w:rsid w:val="0087789E"/>
    <w:rsid w:val="0088017A"/>
    <w:rsid w:val="00881466"/>
    <w:rsid w:val="008815CC"/>
    <w:rsid w:val="008843FD"/>
    <w:rsid w:val="00884409"/>
    <w:rsid w:val="00884BA0"/>
    <w:rsid w:val="00886A52"/>
    <w:rsid w:val="008914ED"/>
    <w:rsid w:val="008924E0"/>
    <w:rsid w:val="00892C9E"/>
    <w:rsid w:val="0089323A"/>
    <w:rsid w:val="00894652"/>
    <w:rsid w:val="008948CA"/>
    <w:rsid w:val="008950BC"/>
    <w:rsid w:val="00895663"/>
    <w:rsid w:val="00896254"/>
    <w:rsid w:val="0089635F"/>
    <w:rsid w:val="008973FA"/>
    <w:rsid w:val="008974B7"/>
    <w:rsid w:val="008A0269"/>
    <w:rsid w:val="008A04D6"/>
    <w:rsid w:val="008A0594"/>
    <w:rsid w:val="008A4EF8"/>
    <w:rsid w:val="008B1FCF"/>
    <w:rsid w:val="008B515C"/>
    <w:rsid w:val="008B5850"/>
    <w:rsid w:val="008C15BE"/>
    <w:rsid w:val="008C1C42"/>
    <w:rsid w:val="008C5771"/>
    <w:rsid w:val="008C756F"/>
    <w:rsid w:val="008D04B7"/>
    <w:rsid w:val="008D3967"/>
    <w:rsid w:val="008D4B44"/>
    <w:rsid w:val="008D7C75"/>
    <w:rsid w:val="008E1467"/>
    <w:rsid w:val="008E3A47"/>
    <w:rsid w:val="008E61E2"/>
    <w:rsid w:val="008E7BE5"/>
    <w:rsid w:val="008F05CC"/>
    <w:rsid w:val="008F2D8D"/>
    <w:rsid w:val="008F4BA4"/>
    <w:rsid w:val="009010FC"/>
    <w:rsid w:val="009025FE"/>
    <w:rsid w:val="00903598"/>
    <w:rsid w:val="0090682D"/>
    <w:rsid w:val="00906B76"/>
    <w:rsid w:val="00911718"/>
    <w:rsid w:val="00912023"/>
    <w:rsid w:val="009203E2"/>
    <w:rsid w:val="00922307"/>
    <w:rsid w:val="009259F8"/>
    <w:rsid w:val="00932457"/>
    <w:rsid w:val="0094068C"/>
    <w:rsid w:val="00941AAE"/>
    <w:rsid w:val="009429A9"/>
    <w:rsid w:val="0094377F"/>
    <w:rsid w:val="009452AB"/>
    <w:rsid w:val="009517DC"/>
    <w:rsid w:val="0095538C"/>
    <w:rsid w:val="00955B8F"/>
    <w:rsid w:val="00957C4A"/>
    <w:rsid w:val="00957D25"/>
    <w:rsid w:val="00960084"/>
    <w:rsid w:val="009623C2"/>
    <w:rsid w:val="00964804"/>
    <w:rsid w:val="009661FA"/>
    <w:rsid w:val="0096786F"/>
    <w:rsid w:val="00973439"/>
    <w:rsid w:val="00973EC3"/>
    <w:rsid w:val="00976A43"/>
    <w:rsid w:val="00982376"/>
    <w:rsid w:val="00984618"/>
    <w:rsid w:val="00986194"/>
    <w:rsid w:val="009868C6"/>
    <w:rsid w:val="00987281"/>
    <w:rsid w:val="00990602"/>
    <w:rsid w:val="009924F1"/>
    <w:rsid w:val="00993B42"/>
    <w:rsid w:val="00993DDF"/>
    <w:rsid w:val="0099774A"/>
    <w:rsid w:val="009A11BD"/>
    <w:rsid w:val="009A758C"/>
    <w:rsid w:val="009B1F6D"/>
    <w:rsid w:val="009B1FAF"/>
    <w:rsid w:val="009B5C88"/>
    <w:rsid w:val="009C53AB"/>
    <w:rsid w:val="009D00B3"/>
    <w:rsid w:val="009D0902"/>
    <w:rsid w:val="009E40A7"/>
    <w:rsid w:val="009E49C1"/>
    <w:rsid w:val="009E4C73"/>
    <w:rsid w:val="009E72CD"/>
    <w:rsid w:val="009E79EF"/>
    <w:rsid w:val="009F159A"/>
    <w:rsid w:val="009F28DB"/>
    <w:rsid w:val="009F30E3"/>
    <w:rsid w:val="009F5462"/>
    <w:rsid w:val="009F61E6"/>
    <w:rsid w:val="00A06156"/>
    <w:rsid w:val="00A06EAD"/>
    <w:rsid w:val="00A21144"/>
    <w:rsid w:val="00A26974"/>
    <w:rsid w:val="00A31368"/>
    <w:rsid w:val="00A317B3"/>
    <w:rsid w:val="00A342C6"/>
    <w:rsid w:val="00A349E5"/>
    <w:rsid w:val="00A35A89"/>
    <w:rsid w:val="00A367AC"/>
    <w:rsid w:val="00A373E2"/>
    <w:rsid w:val="00A41012"/>
    <w:rsid w:val="00A412BE"/>
    <w:rsid w:val="00A41A2A"/>
    <w:rsid w:val="00A42F62"/>
    <w:rsid w:val="00A470C0"/>
    <w:rsid w:val="00A53659"/>
    <w:rsid w:val="00A54DCC"/>
    <w:rsid w:val="00A62AD8"/>
    <w:rsid w:val="00A70C1C"/>
    <w:rsid w:val="00A70C24"/>
    <w:rsid w:val="00A70F76"/>
    <w:rsid w:val="00A72055"/>
    <w:rsid w:val="00A72FD1"/>
    <w:rsid w:val="00A7301C"/>
    <w:rsid w:val="00A731E0"/>
    <w:rsid w:val="00A754F5"/>
    <w:rsid w:val="00A76A31"/>
    <w:rsid w:val="00A76D2F"/>
    <w:rsid w:val="00A77C9E"/>
    <w:rsid w:val="00A803ED"/>
    <w:rsid w:val="00A81222"/>
    <w:rsid w:val="00A81FCD"/>
    <w:rsid w:val="00A8305E"/>
    <w:rsid w:val="00A83CE8"/>
    <w:rsid w:val="00A83DA1"/>
    <w:rsid w:val="00A8746D"/>
    <w:rsid w:val="00A87BE8"/>
    <w:rsid w:val="00A87F5C"/>
    <w:rsid w:val="00A9396C"/>
    <w:rsid w:val="00A94277"/>
    <w:rsid w:val="00A94340"/>
    <w:rsid w:val="00AA014A"/>
    <w:rsid w:val="00AA0C5A"/>
    <w:rsid w:val="00AA6BEE"/>
    <w:rsid w:val="00AB0789"/>
    <w:rsid w:val="00AB2037"/>
    <w:rsid w:val="00AB4272"/>
    <w:rsid w:val="00AB47A6"/>
    <w:rsid w:val="00AB480B"/>
    <w:rsid w:val="00AC0947"/>
    <w:rsid w:val="00AC1C3F"/>
    <w:rsid w:val="00AC3D3B"/>
    <w:rsid w:val="00AC5C39"/>
    <w:rsid w:val="00AD040C"/>
    <w:rsid w:val="00AD3AA0"/>
    <w:rsid w:val="00AD414D"/>
    <w:rsid w:val="00AD4C98"/>
    <w:rsid w:val="00AD6638"/>
    <w:rsid w:val="00AE4866"/>
    <w:rsid w:val="00AE5263"/>
    <w:rsid w:val="00AE52C8"/>
    <w:rsid w:val="00AE5AAC"/>
    <w:rsid w:val="00AE796E"/>
    <w:rsid w:val="00AF0A2E"/>
    <w:rsid w:val="00AF2B03"/>
    <w:rsid w:val="00AF32EE"/>
    <w:rsid w:val="00AF4834"/>
    <w:rsid w:val="00B0146A"/>
    <w:rsid w:val="00B018D1"/>
    <w:rsid w:val="00B02181"/>
    <w:rsid w:val="00B03ACB"/>
    <w:rsid w:val="00B05948"/>
    <w:rsid w:val="00B05EB5"/>
    <w:rsid w:val="00B0733A"/>
    <w:rsid w:val="00B07F25"/>
    <w:rsid w:val="00B205F4"/>
    <w:rsid w:val="00B21D86"/>
    <w:rsid w:val="00B24308"/>
    <w:rsid w:val="00B2433D"/>
    <w:rsid w:val="00B25AFD"/>
    <w:rsid w:val="00B30F56"/>
    <w:rsid w:val="00B314E8"/>
    <w:rsid w:val="00B35126"/>
    <w:rsid w:val="00B43FD9"/>
    <w:rsid w:val="00B45DB5"/>
    <w:rsid w:val="00B47177"/>
    <w:rsid w:val="00B4750F"/>
    <w:rsid w:val="00B5152F"/>
    <w:rsid w:val="00B524B2"/>
    <w:rsid w:val="00B54BFD"/>
    <w:rsid w:val="00B6410C"/>
    <w:rsid w:val="00B64B72"/>
    <w:rsid w:val="00B6509E"/>
    <w:rsid w:val="00B65AA5"/>
    <w:rsid w:val="00B66895"/>
    <w:rsid w:val="00B729BF"/>
    <w:rsid w:val="00B735A8"/>
    <w:rsid w:val="00B749FD"/>
    <w:rsid w:val="00B76235"/>
    <w:rsid w:val="00B80FC4"/>
    <w:rsid w:val="00B81AF8"/>
    <w:rsid w:val="00B82A0A"/>
    <w:rsid w:val="00B82BC9"/>
    <w:rsid w:val="00B84A2A"/>
    <w:rsid w:val="00B852FD"/>
    <w:rsid w:val="00B8685B"/>
    <w:rsid w:val="00B9086E"/>
    <w:rsid w:val="00B90FF2"/>
    <w:rsid w:val="00B943B3"/>
    <w:rsid w:val="00B9574C"/>
    <w:rsid w:val="00BA0C86"/>
    <w:rsid w:val="00BA21F3"/>
    <w:rsid w:val="00BA2714"/>
    <w:rsid w:val="00BA4994"/>
    <w:rsid w:val="00BA5997"/>
    <w:rsid w:val="00BA7EE9"/>
    <w:rsid w:val="00BB0E05"/>
    <w:rsid w:val="00BB0F51"/>
    <w:rsid w:val="00BB0F60"/>
    <w:rsid w:val="00BB1A2D"/>
    <w:rsid w:val="00BB2BBF"/>
    <w:rsid w:val="00BB5009"/>
    <w:rsid w:val="00BC0334"/>
    <w:rsid w:val="00BC1910"/>
    <w:rsid w:val="00BC39DC"/>
    <w:rsid w:val="00BC5652"/>
    <w:rsid w:val="00BC7830"/>
    <w:rsid w:val="00BD0610"/>
    <w:rsid w:val="00BD3CE5"/>
    <w:rsid w:val="00BD4DD4"/>
    <w:rsid w:val="00BD5149"/>
    <w:rsid w:val="00BD55D9"/>
    <w:rsid w:val="00BD59D5"/>
    <w:rsid w:val="00BE2B2A"/>
    <w:rsid w:val="00BE43A5"/>
    <w:rsid w:val="00BE5219"/>
    <w:rsid w:val="00BE63F7"/>
    <w:rsid w:val="00BE7C0F"/>
    <w:rsid w:val="00BF2A7C"/>
    <w:rsid w:val="00BF4C6C"/>
    <w:rsid w:val="00BF7230"/>
    <w:rsid w:val="00BF7B20"/>
    <w:rsid w:val="00C0175A"/>
    <w:rsid w:val="00C0193C"/>
    <w:rsid w:val="00C04729"/>
    <w:rsid w:val="00C071A5"/>
    <w:rsid w:val="00C07720"/>
    <w:rsid w:val="00C07ACB"/>
    <w:rsid w:val="00C07C3B"/>
    <w:rsid w:val="00C11A0C"/>
    <w:rsid w:val="00C1270A"/>
    <w:rsid w:val="00C16CA6"/>
    <w:rsid w:val="00C17EC4"/>
    <w:rsid w:val="00C24DA0"/>
    <w:rsid w:val="00C27816"/>
    <w:rsid w:val="00C3053A"/>
    <w:rsid w:val="00C31B71"/>
    <w:rsid w:val="00C35155"/>
    <w:rsid w:val="00C35486"/>
    <w:rsid w:val="00C35968"/>
    <w:rsid w:val="00C36734"/>
    <w:rsid w:val="00C40108"/>
    <w:rsid w:val="00C401F7"/>
    <w:rsid w:val="00C41825"/>
    <w:rsid w:val="00C42169"/>
    <w:rsid w:val="00C438E0"/>
    <w:rsid w:val="00C443A6"/>
    <w:rsid w:val="00C44608"/>
    <w:rsid w:val="00C4760D"/>
    <w:rsid w:val="00C505A0"/>
    <w:rsid w:val="00C535B5"/>
    <w:rsid w:val="00C611A5"/>
    <w:rsid w:val="00C61AEA"/>
    <w:rsid w:val="00C61D6B"/>
    <w:rsid w:val="00C61F4B"/>
    <w:rsid w:val="00C62D4A"/>
    <w:rsid w:val="00C66070"/>
    <w:rsid w:val="00C6702B"/>
    <w:rsid w:val="00C7003D"/>
    <w:rsid w:val="00C70354"/>
    <w:rsid w:val="00C720BB"/>
    <w:rsid w:val="00C73EEE"/>
    <w:rsid w:val="00C75B90"/>
    <w:rsid w:val="00C778ED"/>
    <w:rsid w:val="00C77BF4"/>
    <w:rsid w:val="00C80B68"/>
    <w:rsid w:val="00C83EE4"/>
    <w:rsid w:val="00C8517E"/>
    <w:rsid w:val="00C904F5"/>
    <w:rsid w:val="00C92D28"/>
    <w:rsid w:val="00C9344D"/>
    <w:rsid w:val="00C941BD"/>
    <w:rsid w:val="00C957F3"/>
    <w:rsid w:val="00C95A4C"/>
    <w:rsid w:val="00C96618"/>
    <w:rsid w:val="00C97CA7"/>
    <w:rsid w:val="00CA16F5"/>
    <w:rsid w:val="00CA22B9"/>
    <w:rsid w:val="00CA2987"/>
    <w:rsid w:val="00CB0CE5"/>
    <w:rsid w:val="00CB19F5"/>
    <w:rsid w:val="00CB1E1B"/>
    <w:rsid w:val="00CB4139"/>
    <w:rsid w:val="00CB7829"/>
    <w:rsid w:val="00CC7C36"/>
    <w:rsid w:val="00CD023D"/>
    <w:rsid w:val="00CD1E7F"/>
    <w:rsid w:val="00CD331F"/>
    <w:rsid w:val="00CE0CB4"/>
    <w:rsid w:val="00CE25C0"/>
    <w:rsid w:val="00CE4127"/>
    <w:rsid w:val="00CE761C"/>
    <w:rsid w:val="00CF3638"/>
    <w:rsid w:val="00D00E3D"/>
    <w:rsid w:val="00D059C1"/>
    <w:rsid w:val="00D0698C"/>
    <w:rsid w:val="00D10844"/>
    <w:rsid w:val="00D125FD"/>
    <w:rsid w:val="00D13AA2"/>
    <w:rsid w:val="00D15B50"/>
    <w:rsid w:val="00D16553"/>
    <w:rsid w:val="00D169CA"/>
    <w:rsid w:val="00D201F6"/>
    <w:rsid w:val="00D20462"/>
    <w:rsid w:val="00D209D2"/>
    <w:rsid w:val="00D20A6B"/>
    <w:rsid w:val="00D2386A"/>
    <w:rsid w:val="00D27309"/>
    <w:rsid w:val="00D27EA0"/>
    <w:rsid w:val="00D32F90"/>
    <w:rsid w:val="00D33219"/>
    <w:rsid w:val="00D350A3"/>
    <w:rsid w:val="00D363FA"/>
    <w:rsid w:val="00D40CCB"/>
    <w:rsid w:val="00D427C8"/>
    <w:rsid w:val="00D43FFC"/>
    <w:rsid w:val="00D46E11"/>
    <w:rsid w:val="00D50957"/>
    <w:rsid w:val="00D50AD6"/>
    <w:rsid w:val="00D520E3"/>
    <w:rsid w:val="00D5390D"/>
    <w:rsid w:val="00D54754"/>
    <w:rsid w:val="00D5495B"/>
    <w:rsid w:val="00D60C3D"/>
    <w:rsid w:val="00D64E6A"/>
    <w:rsid w:val="00D65630"/>
    <w:rsid w:val="00D66CE4"/>
    <w:rsid w:val="00D67C86"/>
    <w:rsid w:val="00D7029A"/>
    <w:rsid w:val="00D70931"/>
    <w:rsid w:val="00D7129C"/>
    <w:rsid w:val="00D7395E"/>
    <w:rsid w:val="00D73A18"/>
    <w:rsid w:val="00D74B3A"/>
    <w:rsid w:val="00D766C8"/>
    <w:rsid w:val="00D76C1F"/>
    <w:rsid w:val="00D77EE2"/>
    <w:rsid w:val="00D82707"/>
    <w:rsid w:val="00D82DEC"/>
    <w:rsid w:val="00D8474E"/>
    <w:rsid w:val="00D9132B"/>
    <w:rsid w:val="00D914A8"/>
    <w:rsid w:val="00D94B55"/>
    <w:rsid w:val="00D95BAB"/>
    <w:rsid w:val="00D96171"/>
    <w:rsid w:val="00D963C8"/>
    <w:rsid w:val="00D970B2"/>
    <w:rsid w:val="00D972F5"/>
    <w:rsid w:val="00D97377"/>
    <w:rsid w:val="00DA08AC"/>
    <w:rsid w:val="00DA2679"/>
    <w:rsid w:val="00DA41C6"/>
    <w:rsid w:val="00DA7F72"/>
    <w:rsid w:val="00DB18C7"/>
    <w:rsid w:val="00DB488F"/>
    <w:rsid w:val="00DB4D5B"/>
    <w:rsid w:val="00DB6580"/>
    <w:rsid w:val="00DB7A8D"/>
    <w:rsid w:val="00DC13EC"/>
    <w:rsid w:val="00DC4512"/>
    <w:rsid w:val="00DC4B7E"/>
    <w:rsid w:val="00DC4E4C"/>
    <w:rsid w:val="00DD1496"/>
    <w:rsid w:val="00DD36B6"/>
    <w:rsid w:val="00DD4FC5"/>
    <w:rsid w:val="00DE21FE"/>
    <w:rsid w:val="00DE2526"/>
    <w:rsid w:val="00DE3372"/>
    <w:rsid w:val="00DE45C6"/>
    <w:rsid w:val="00DE5ED3"/>
    <w:rsid w:val="00DE730E"/>
    <w:rsid w:val="00DE7777"/>
    <w:rsid w:val="00DF096C"/>
    <w:rsid w:val="00DF10A2"/>
    <w:rsid w:val="00DF43B3"/>
    <w:rsid w:val="00DF4CA2"/>
    <w:rsid w:val="00DF5002"/>
    <w:rsid w:val="00DF5689"/>
    <w:rsid w:val="00E0089F"/>
    <w:rsid w:val="00E02FED"/>
    <w:rsid w:val="00E05346"/>
    <w:rsid w:val="00E10488"/>
    <w:rsid w:val="00E113C1"/>
    <w:rsid w:val="00E11A9B"/>
    <w:rsid w:val="00E12498"/>
    <w:rsid w:val="00E12DCD"/>
    <w:rsid w:val="00E21A85"/>
    <w:rsid w:val="00E22786"/>
    <w:rsid w:val="00E22CF2"/>
    <w:rsid w:val="00E231D0"/>
    <w:rsid w:val="00E2645B"/>
    <w:rsid w:val="00E30FD0"/>
    <w:rsid w:val="00E33291"/>
    <w:rsid w:val="00E344FE"/>
    <w:rsid w:val="00E34F6B"/>
    <w:rsid w:val="00E3565F"/>
    <w:rsid w:val="00E369EF"/>
    <w:rsid w:val="00E37F75"/>
    <w:rsid w:val="00E423BF"/>
    <w:rsid w:val="00E42E50"/>
    <w:rsid w:val="00E43AD2"/>
    <w:rsid w:val="00E443B7"/>
    <w:rsid w:val="00E46E0E"/>
    <w:rsid w:val="00E55226"/>
    <w:rsid w:val="00E57568"/>
    <w:rsid w:val="00E60984"/>
    <w:rsid w:val="00E60C4F"/>
    <w:rsid w:val="00E6112E"/>
    <w:rsid w:val="00E61506"/>
    <w:rsid w:val="00E65D33"/>
    <w:rsid w:val="00E66933"/>
    <w:rsid w:val="00E67786"/>
    <w:rsid w:val="00E70474"/>
    <w:rsid w:val="00E71116"/>
    <w:rsid w:val="00E71542"/>
    <w:rsid w:val="00E747DE"/>
    <w:rsid w:val="00E759EC"/>
    <w:rsid w:val="00E80551"/>
    <w:rsid w:val="00E83647"/>
    <w:rsid w:val="00E836BB"/>
    <w:rsid w:val="00E87552"/>
    <w:rsid w:val="00E87CD9"/>
    <w:rsid w:val="00E92062"/>
    <w:rsid w:val="00E95D84"/>
    <w:rsid w:val="00E9633B"/>
    <w:rsid w:val="00EA4789"/>
    <w:rsid w:val="00EA4AB9"/>
    <w:rsid w:val="00EA5B69"/>
    <w:rsid w:val="00EB04C8"/>
    <w:rsid w:val="00EB24F2"/>
    <w:rsid w:val="00EB2931"/>
    <w:rsid w:val="00EB3F2F"/>
    <w:rsid w:val="00EB506A"/>
    <w:rsid w:val="00EB680C"/>
    <w:rsid w:val="00EC188E"/>
    <w:rsid w:val="00EC4F94"/>
    <w:rsid w:val="00EC6D36"/>
    <w:rsid w:val="00ED126F"/>
    <w:rsid w:val="00ED1740"/>
    <w:rsid w:val="00ED1823"/>
    <w:rsid w:val="00ED2FEF"/>
    <w:rsid w:val="00ED4E9C"/>
    <w:rsid w:val="00ED50E8"/>
    <w:rsid w:val="00EE0548"/>
    <w:rsid w:val="00EE5ECC"/>
    <w:rsid w:val="00EE67ED"/>
    <w:rsid w:val="00EF1897"/>
    <w:rsid w:val="00EF23AA"/>
    <w:rsid w:val="00EF2430"/>
    <w:rsid w:val="00EF26F8"/>
    <w:rsid w:val="00EF7BDC"/>
    <w:rsid w:val="00F00C4F"/>
    <w:rsid w:val="00F00D1F"/>
    <w:rsid w:val="00F02084"/>
    <w:rsid w:val="00F04394"/>
    <w:rsid w:val="00F06227"/>
    <w:rsid w:val="00F0722C"/>
    <w:rsid w:val="00F103C5"/>
    <w:rsid w:val="00F12673"/>
    <w:rsid w:val="00F12A14"/>
    <w:rsid w:val="00F16E89"/>
    <w:rsid w:val="00F2133F"/>
    <w:rsid w:val="00F23A1E"/>
    <w:rsid w:val="00F2437D"/>
    <w:rsid w:val="00F26FE2"/>
    <w:rsid w:val="00F27A1C"/>
    <w:rsid w:val="00F309E6"/>
    <w:rsid w:val="00F31794"/>
    <w:rsid w:val="00F3294C"/>
    <w:rsid w:val="00F352DC"/>
    <w:rsid w:val="00F3609F"/>
    <w:rsid w:val="00F37827"/>
    <w:rsid w:val="00F40D6E"/>
    <w:rsid w:val="00F42C59"/>
    <w:rsid w:val="00F470D4"/>
    <w:rsid w:val="00F51597"/>
    <w:rsid w:val="00F56264"/>
    <w:rsid w:val="00F6066F"/>
    <w:rsid w:val="00F60B6F"/>
    <w:rsid w:val="00F610A9"/>
    <w:rsid w:val="00F61537"/>
    <w:rsid w:val="00F632B4"/>
    <w:rsid w:val="00F65D0E"/>
    <w:rsid w:val="00F719F2"/>
    <w:rsid w:val="00F72299"/>
    <w:rsid w:val="00F72840"/>
    <w:rsid w:val="00F74E43"/>
    <w:rsid w:val="00F7547F"/>
    <w:rsid w:val="00F768F5"/>
    <w:rsid w:val="00F8190F"/>
    <w:rsid w:val="00F84C8E"/>
    <w:rsid w:val="00F9089D"/>
    <w:rsid w:val="00F95B23"/>
    <w:rsid w:val="00F96AF7"/>
    <w:rsid w:val="00FA2BF4"/>
    <w:rsid w:val="00FA380F"/>
    <w:rsid w:val="00FA414B"/>
    <w:rsid w:val="00FA535E"/>
    <w:rsid w:val="00FA5E58"/>
    <w:rsid w:val="00FA743F"/>
    <w:rsid w:val="00FB1593"/>
    <w:rsid w:val="00FB6B87"/>
    <w:rsid w:val="00FC06D1"/>
    <w:rsid w:val="00FC0C6C"/>
    <w:rsid w:val="00FC0F46"/>
    <w:rsid w:val="00FC1D24"/>
    <w:rsid w:val="00FC4CCF"/>
    <w:rsid w:val="00FD0184"/>
    <w:rsid w:val="00FD57AF"/>
    <w:rsid w:val="00FD632C"/>
    <w:rsid w:val="00FD7FA7"/>
    <w:rsid w:val="00FE1BBB"/>
    <w:rsid w:val="00FE3C5F"/>
    <w:rsid w:val="00FF32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56394F"/>
  <w15:docId w15:val="{02012782-B6F2-400E-B712-FDC597AD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42"/>
    <w:pPr>
      <w:spacing w:line="276" w:lineRule="auto"/>
    </w:pPr>
    <w:rPr>
      <w:sz w:val="22"/>
      <w:szCs w:val="22"/>
      <w:lang w:val="en-GB" w:eastAsia="en-US"/>
    </w:rPr>
  </w:style>
  <w:style w:type="paragraph" w:styleId="Heading1">
    <w:name w:val="heading 1"/>
    <w:basedOn w:val="Normal"/>
    <w:next w:val="Normal"/>
    <w:link w:val="Heading1Char"/>
    <w:uiPriority w:val="9"/>
    <w:qFormat/>
    <w:rsid w:val="00A26974"/>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unhideWhenUsed/>
    <w:qFormat/>
    <w:rsid w:val="00372BFB"/>
    <w:pPr>
      <w:keepNext/>
      <w:spacing w:before="240" w:after="60"/>
      <w:outlineLvl w:val="2"/>
    </w:pPr>
    <w:rPr>
      <w:rFonts w:eastAsia="MS Gothic"/>
      <w:b/>
      <w:bCs/>
      <w:sz w:val="26"/>
      <w:szCs w:val="26"/>
    </w:rPr>
  </w:style>
  <w:style w:type="paragraph" w:styleId="Heading5">
    <w:name w:val="heading 5"/>
    <w:basedOn w:val="Normal"/>
    <w:link w:val="Heading5Char"/>
    <w:uiPriority w:val="9"/>
    <w:qFormat/>
    <w:rsid w:val="00C904F5"/>
    <w:pPr>
      <w:spacing w:before="100" w:beforeAutospacing="1" w:after="100" w:afterAutospacing="1" w:line="240" w:lineRule="auto"/>
      <w:outlineLvl w:val="4"/>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9D0902"/>
    <w:pPr>
      <w:ind w:left="720"/>
      <w:contextualSpacing/>
    </w:pPr>
  </w:style>
  <w:style w:type="paragraph" w:styleId="BalloonText">
    <w:name w:val="Balloon Text"/>
    <w:basedOn w:val="Normal"/>
    <w:link w:val="BalloonTextChar"/>
    <w:uiPriority w:val="99"/>
    <w:semiHidden/>
    <w:unhideWhenUsed/>
    <w:rsid w:val="00F562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6264"/>
    <w:rPr>
      <w:rFonts w:ascii="Tahoma" w:hAnsi="Tahoma" w:cs="Tahoma"/>
      <w:sz w:val="16"/>
      <w:szCs w:val="16"/>
    </w:rPr>
  </w:style>
  <w:style w:type="character" w:styleId="CommentReference">
    <w:name w:val="annotation reference"/>
    <w:uiPriority w:val="99"/>
    <w:semiHidden/>
    <w:unhideWhenUsed/>
    <w:rsid w:val="00F632B4"/>
    <w:rPr>
      <w:sz w:val="16"/>
      <w:szCs w:val="16"/>
    </w:rPr>
  </w:style>
  <w:style w:type="paragraph" w:styleId="CommentText">
    <w:name w:val="annotation text"/>
    <w:basedOn w:val="Normal"/>
    <w:link w:val="CommentTextChar"/>
    <w:uiPriority w:val="99"/>
    <w:unhideWhenUsed/>
    <w:rsid w:val="00F632B4"/>
    <w:pPr>
      <w:spacing w:line="240" w:lineRule="auto"/>
    </w:pPr>
    <w:rPr>
      <w:sz w:val="20"/>
      <w:szCs w:val="20"/>
    </w:rPr>
  </w:style>
  <w:style w:type="character" w:customStyle="1" w:styleId="CommentTextChar">
    <w:name w:val="Comment Text Char"/>
    <w:link w:val="CommentText"/>
    <w:uiPriority w:val="99"/>
    <w:rsid w:val="00F632B4"/>
    <w:rPr>
      <w:sz w:val="20"/>
      <w:szCs w:val="20"/>
    </w:rPr>
  </w:style>
  <w:style w:type="paragraph" w:styleId="CommentSubject">
    <w:name w:val="annotation subject"/>
    <w:basedOn w:val="CommentText"/>
    <w:next w:val="CommentText"/>
    <w:link w:val="CommentSubjectChar"/>
    <w:uiPriority w:val="99"/>
    <w:semiHidden/>
    <w:unhideWhenUsed/>
    <w:rsid w:val="00F632B4"/>
    <w:rPr>
      <w:b/>
      <w:bCs/>
    </w:rPr>
  </w:style>
  <w:style w:type="character" w:customStyle="1" w:styleId="CommentSubjectChar">
    <w:name w:val="Comment Subject Char"/>
    <w:link w:val="CommentSubject"/>
    <w:uiPriority w:val="99"/>
    <w:semiHidden/>
    <w:rsid w:val="00F632B4"/>
    <w:rPr>
      <w:b/>
      <w:bCs/>
      <w:sz w:val="20"/>
      <w:szCs w:val="20"/>
    </w:rPr>
  </w:style>
  <w:style w:type="paragraph" w:styleId="Header">
    <w:name w:val="header"/>
    <w:basedOn w:val="Normal"/>
    <w:link w:val="HeaderChar"/>
    <w:uiPriority w:val="99"/>
    <w:unhideWhenUsed/>
    <w:rsid w:val="000A5D01"/>
    <w:pPr>
      <w:tabs>
        <w:tab w:val="center" w:pos="4680"/>
        <w:tab w:val="right" w:pos="9360"/>
      </w:tabs>
    </w:pPr>
  </w:style>
  <w:style w:type="character" w:customStyle="1" w:styleId="HeaderChar">
    <w:name w:val="Header Char"/>
    <w:link w:val="Header"/>
    <w:uiPriority w:val="99"/>
    <w:rsid w:val="000A5D01"/>
    <w:rPr>
      <w:sz w:val="22"/>
      <w:szCs w:val="22"/>
      <w:lang w:val="en-GB"/>
    </w:rPr>
  </w:style>
  <w:style w:type="paragraph" w:styleId="Footer">
    <w:name w:val="footer"/>
    <w:basedOn w:val="Normal"/>
    <w:link w:val="FooterChar"/>
    <w:uiPriority w:val="99"/>
    <w:unhideWhenUsed/>
    <w:rsid w:val="000A5D01"/>
    <w:pPr>
      <w:tabs>
        <w:tab w:val="center" w:pos="4680"/>
        <w:tab w:val="right" w:pos="9360"/>
      </w:tabs>
    </w:pPr>
  </w:style>
  <w:style w:type="character" w:customStyle="1" w:styleId="FooterChar">
    <w:name w:val="Footer Char"/>
    <w:link w:val="Footer"/>
    <w:uiPriority w:val="99"/>
    <w:rsid w:val="000A5D01"/>
    <w:rPr>
      <w:sz w:val="22"/>
      <w:szCs w:val="22"/>
      <w:lang w:val="en-GB"/>
    </w:rPr>
  </w:style>
  <w:style w:type="paragraph" w:styleId="FootnoteText">
    <w:name w:val="footnote text"/>
    <w:basedOn w:val="Normal"/>
    <w:link w:val="FootnoteTextChar"/>
    <w:uiPriority w:val="99"/>
    <w:unhideWhenUsed/>
    <w:rsid w:val="00A41A2A"/>
    <w:rPr>
      <w:sz w:val="20"/>
      <w:szCs w:val="20"/>
    </w:rPr>
  </w:style>
  <w:style w:type="character" w:customStyle="1" w:styleId="FootnoteTextChar">
    <w:name w:val="Footnote Text Char"/>
    <w:link w:val="FootnoteText"/>
    <w:uiPriority w:val="99"/>
    <w:rsid w:val="00A41A2A"/>
    <w:rPr>
      <w:lang w:eastAsia="en-US"/>
    </w:rPr>
  </w:style>
  <w:style w:type="character" w:styleId="FootnoteReference">
    <w:name w:val="footnote reference"/>
    <w:uiPriority w:val="99"/>
    <w:unhideWhenUsed/>
    <w:rsid w:val="00A41A2A"/>
    <w:rPr>
      <w:vertAlign w:val="superscript"/>
    </w:rPr>
  </w:style>
  <w:style w:type="paragraph" w:customStyle="1" w:styleId="ColorfulShading-Accent31">
    <w:name w:val="Colorful Shading - Accent 31"/>
    <w:basedOn w:val="Normal"/>
    <w:uiPriority w:val="34"/>
    <w:qFormat/>
    <w:rsid w:val="009F5462"/>
    <w:pPr>
      <w:ind w:left="720"/>
    </w:pPr>
  </w:style>
  <w:style w:type="paragraph" w:styleId="Date">
    <w:name w:val="Date"/>
    <w:basedOn w:val="Normal"/>
    <w:next w:val="Normal"/>
    <w:link w:val="DateChar"/>
    <w:uiPriority w:val="99"/>
    <w:semiHidden/>
    <w:unhideWhenUsed/>
    <w:rsid w:val="0085187B"/>
  </w:style>
  <w:style w:type="character" w:customStyle="1" w:styleId="DateChar">
    <w:name w:val="Date Char"/>
    <w:link w:val="Date"/>
    <w:uiPriority w:val="99"/>
    <w:semiHidden/>
    <w:rsid w:val="0085187B"/>
    <w:rPr>
      <w:sz w:val="22"/>
      <w:szCs w:val="22"/>
      <w:lang w:val="en-GB" w:eastAsia="en-US"/>
    </w:rPr>
  </w:style>
  <w:style w:type="table" w:styleId="TableGrid">
    <w:name w:val="Table Grid"/>
    <w:basedOn w:val="TableNormal"/>
    <w:uiPriority w:val="39"/>
    <w:rsid w:val="002A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3922A6"/>
    <w:pPr>
      <w:ind w:left="720"/>
    </w:pPr>
  </w:style>
  <w:style w:type="character" w:customStyle="1" w:styleId="Heading5Char">
    <w:name w:val="Heading 5 Char"/>
    <w:link w:val="Heading5"/>
    <w:uiPriority w:val="9"/>
    <w:rsid w:val="00C904F5"/>
    <w:rPr>
      <w:rFonts w:ascii="Times New Roman" w:eastAsia="Times New Roman" w:hAnsi="Times New Roman"/>
      <w:b/>
      <w:bCs/>
    </w:rPr>
  </w:style>
  <w:style w:type="character" w:styleId="Strong">
    <w:name w:val="Strong"/>
    <w:uiPriority w:val="22"/>
    <w:qFormat/>
    <w:rsid w:val="00C904F5"/>
    <w:rPr>
      <w:b/>
      <w:bCs/>
    </w:rPr>
  </w:style>
  <w:style w:type="paragraph" w:customStyle="1" w:styleId="LightList-Accent31">
    <w:name w:val="Light List - Accent 31"/>
    <w:hidden/>
    <w:uiPriority w:val="71"/>
    <w:unhideWhenUsed/>
    <w:rsid w:val="00F610A9"/>
    <w:pPr>
      <w:spacing w:line="276" w:lineRule="auto"/>
    </w:pPr>
    <w:rPr>
      <w:sz w:val="22"/>
      <w:szCs w:val="22"/>
      <w:lang w:val="en-GB" w:eastAsia="en-US"/>
    </w:rPr>
  </w:style>
  <w:style w:type="character" w:customStyle="1" w:styleId="Heading1Char">
    <w:name w:val="Heading 1 Char"/>
    <w:link w:val="Heading1"/>
    <w:uiPriority w:val="9"/>
    <w:rsid w:val="00A26974"/>
    <w:rPr>
      <w:rFonts w:ascii="Calibri Light" w:eastAsia="Times New Roman" w:hAnsi="Calibri Light" w:cs="Times New Roman"/>
      <w:b/>
      <w:bCs/>
      <w:kern w:val="32"/>
      <w:sz w:val="32"/>
      <w:szCs w:val="32"/>
      <w:lang w:val="en-GB"/>
    </w:rPr>
  </w:style>
  <w:style w:type="character" w:styleId="Hyperlink">
    <w:name w:val="Hyperlink"/>
    <w:uiPriority w:val="99"/>
    <w:unhideWhenUsed/>
    <w:rsid w:val="00DE7777"/>
    <w:rPr>
      <w:color w:val="0563C1"/>
      <w:u w:val="single"/>
    </w:rPr>
  </w:style>
  <w:style w:type="paragraph" w:styleId="HTMLPreformatted">
    <w:name w:val="HTML Preformatted"/>
    <w:basedOn w:val="Normal"/>
    <w:link w:val="HTMLPreformattedChar"/>
    <w:uiPriority w:val="99"/>
    <w:unhideWhenUsed/>
    <w:rsid w:val="004B1564"/>
    <w:rPr>
      <w:rFonts w:ascii="Courier New" w:hAnsi="Courier New" w:cs="Courier New"/>
      <w:sz w:val="20"/>
      <w:szCs w:val="20"/>
    </w:rPr>
  </w:style>
  <w:style w:type="character" w:customStyle="1" w:styleId="HTMLPreformattedChar">
    <w:name w:val="HTML Preformatted Char"/>
    <w:link w:val="HTMLPreformatted"/>
    <w:uiPriority w:val="99"/>
    <w:rsid w:val="004B1564"/>
    <w:rPr>
      <w:rFonts w:ascii="Courier New" w:hAnsi="Courier New" w:cs="Courier New"/>
      <w:lang w:val="en-GB" w:eastAsia="en-US"/>
    </w:rPr>
  </w:style>
  <w:style w:type="paragraph" w:customStyle="1" w:styleId="p1">
    <w:name w:val="p1"/>
    <w:basedOn w:val="Normal"/>
    <w:rsid w:val="00E759EC"/>
    <w:pPr>
      <w:spacing w:line="240" w:lineRule="auto"/>
    </w:pPr>
    <w:rPr>
      <w:rFonts w:ascii="Helvetica" w:hAnsi="Helvetica"/>
      <w:sz w:val="15"/>
      <w:szCs w:val="15"/>
      <w:lang w:val="it-IT" w:eastAsia="it-IT"/>
    </w:rPr>
  </w:style>
  <w:style w:type="character" w:customStyle="1" w:styleId="s1">
    <w:name w:val="s1"/>
    <w:rsid w:val="00E759EC"/>
    <w:rPr>
      <w:color w:val="941100"/>
    </w:rPr>
  </w:style>
  <w:style w:type="character" w:customStyle="1" w:styleId="apple-converted-space">
    <w:name w:val="apple-converted-space"/>
    <w:rsid w:val="000F2499"/>
  </w:style>
  <w:style w:type="paragraph" w:customStyle="1" w:styleId="ColorfulShading-Accent11">
    <w:name w:val="Colorful Shading - Accent 11"/>
    <w:hidden/>
    <w:uiPriority w:val="62"/>
    <w:unhideWhenUsed/>
    <w:rsid w:val="00AF4834"/>
    <w:rPr>
      <w:sz w:val="22"/>
      <w:szCs w:val="22"/>
      <w:lang w:val="en-GB" w:eastAsia="en-US"/>
    </w:rPr>
  </w:style>
  <w:style w:type="paragraph" w:styleId="ListParagraph">
    <w:name w:val="List Paragraph"/>
    <w:basedOn w:val="Normal"/>
    <w:uiPriority w:val="99"/>
    <w:qFormat/>
    <w:rsid w:val="008D3967"/>
    <w:pPr>
      <w:ind w:left="720"/>
      <w:contextualSpacing/>
    </w:pPr>
  </w:style>
  <w:style w:type="table" w:customStyle="1" w:styleId="TableGrid1">
    <w:name w:val="Table Grid1"/>
    <w:basedOn w:val="TableNormal"/>
    <w:next w:val="TableGrid"/>
    <w:uiPriority w:val="39"/>
    <w:rsid w:val="00493D1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51A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2E13"/>
    <w:pPr>
      <w:spacing w:before="100" w:beforeAutospacing="1" w:after="100" w:afterAutospacing="1" w:line="240" w:lineRule="auto"/>
    </w:pPr>
    <w:rPr>
      <w:rFonts w:ascii="Times" w:hAnsi="Times"/>
      <w:sz w:val="20"/>
      <w:szCs w:val="20"/>
      <w:lang w:val="en-US"/>
    </w:rPr>
  </w:style>
  <w:style w:type="paragraph" w:customStyle="1" w:styleId="ColorfulList-Accent11">
    <w:name w:val="Colorful List - Accent 11"/>
    <w:basedOn w:val="Normal"/>
    <w:uiPriority w:val="72"/>
    <w:qFormat/>
    <w:rsid w:val="00C957F3"/>
    <w:pPr>
      <w:ind w:left="720"/>
    </w:pPr>
  </w:style>
  <w:style w:type="character" w:customStyle="1" w:styleId="gmail-">
    <w:name w:val="gmail-"/>
    <w:rsid w:val="00C957F3"/>
  </w:style>
  <w:style w:type="character" w:customStyle="1" w:styleId="st">
    <w:name w:val="st"/>
    <w:rsid w:val="00C957F3"/>
  </w:style>
  <w:style w:type="character" w:styleId="Emphasis">
    <w:name w:val="Emphasis"/>
    <w:uiPriority w:val="20"/>
    <w:qFormat/>
    <w:rsid w:val="00C957F3"/>
    <w:rPr>
      <w:i/>
      <w:iCs/>
    </w:rPr>
  </w:style>
  <w:style w:type="character" w:customStyle="1" w:styleId="Heading3Char">
    <w:name w:val="Heading 3 Char"/>
    <w:basedOn w:val="DefaultParagraphFont"/>
    <w:link w:val="Heading3"/>
    <w:uiPriority w:val="9"/>
    <w:rsid w:val="00372BFB"/>
    <w:rPr>
      <w:rFonts w:eastAsia="MS Gothic"/>
      <w:b/>
      <w:bCs/>
      <w:sz w:val="26"/>
      <w:szCs w:val="26"/>
      <w:lang w:val="en-GB" w:eastAsia="en-US"/>
    </w:rPr>
  </w:style>
  <w:style w:type="paragraph" w:customStyle="1" w:styleId="Default">
    <w:name w:val="Default"/>
    <w:rsid w:val="00373AFC"/>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661">
      <w:bodyDiv w:val="1"/>
      <w:marLeft w:val="0"/>
      <w:marRight w:val="0"/>
      <w:marTop w:val="0"/>
      <w:marBottom w:val="0"/>
      <w:divBdr>
        <w:top w:val="none" w:sz="0" w:space="0" w:color="auto"/>
        <w:left w:val="none" w:sz="0" w:space="0" w:color="auto"/>
        <w:bottom w:val="none" w:sz="0" w:space="0" w:color="auto"/>
        <w:right w:val="none" w:sz="0" w:space="0" w:color="auto"/>
      </w:divBdr>
    </w:div>
    <w:div w:id="70350255">
      <w:bodyDiv w:val="1"/>
      <w:marLeft w:val="0"/>
      <w:marRight w:val="0"/>
      <w:marTop w:val="0"/>
      <w:marBottom w:val="0"/>
      <w:divBdr>
        <w:top w:val="none" w:sz="0" w:space="0" w:color="auto"/>
        <w:left w:val="none" w:sz="0" w:space="0" w:color="auto"/>
        <w:bottom w:val="none" w:sz="0" w:space="0" w:color="auto"/>
        <w:right w:val="none" w:sz="0" w:space="0" w:color="auto"/>
      </w:divBdr>
    </w:div>
    <w:div w:id="107510662">
      <w:bodyDiv w:val="1"/>
      <w:marLeft w:val="0"/>
      <w:marRight w:val="0"/>
      <w:marTop w:val="0"/>
      <w:marBottom w:val="0"/>
      <w:divBdr>
        <w:top w:val="none" w:sz="0" w:space="0" w:color="auto"/>
        <w:left w:val="none" w:sz="0" w:space="0" w:color="auto"/>
        <w:bottom w:val="none" w:sz="0" w:space="0" w:color="auto"/>
        <w:right w:val="none" w:sz="0" w:space="0" w:color="auto"/>
      </w:divBdr>
    </w:div>
    <w:div w:id="335887553">
      <w:bodyDiv w:val="1"/>
      <w:marLeft w:val="0"/>
      <w:marRight w:val="0"/>
      <w:marTop w:val="0"/>
      <w:marBottom w:val="0"/>
      <w:divBdr>
        <w:top w:val="none" w:sz="0" w:space="0" w:color="auto"/>
        <w:left w:val="none" w:sz="0" w:space="0" w:color="auto"/>
        <w:bottom w:val="none" w:sz="0" w:space="0" w:color="auto"/>
        <w:right w:val="none" w:sz="0" w:space="0" w:color="auto"/>
      </w:divBdr>
    </w:div>
    <w:div w:id="841435771">
      <w:bodyDiv w:val="1"/>
      <w:marLeft w:val="0"/>
      <w:marRight w:val="0"/>
      <w:marTop w:val="0"/>
      <w:marBottom w:val="0"/>
      <w:divBdr>
        <w:top w:val="none" w:sz="0" w:space="0" w:color="auto"/>
        <w:left w:val="none" w:sz="0" w:space="0" w:color="auto"/>
        <w:bottom w:val="none" w:sz="0" w:space="0" w:color="auto"/>
        <w:right w:val="none" w:sz="0" w:space="0" w:color="auto"/>
      </w:divBdr>
    </w:div>
    <w:div w:id="858081563">
      <w:bodyDiv w:val="1"/>
      <w:marLeft w:val="0"/>
      <w:marRight w:val="0"/>
      <w:marTop w:val="0"/>
      <w:marBottom w:val="0"/>
      <w:divBdr>
        <w:top w:val="none" w:sz="0" w:space="0" w:color="auto"/>
        <w:left w:val="none" w:sz="0" w:space="0" w:color="auto"/>
        <w:bottom w:val="none" w:sz="0" w:space="0" w:color="auto"/>
        <w:right w:val="none" w:sz="0" w:space="0" w:color="auto"/>
      </w:divBdr>
    </w:div>
    <w:div w:id="930817595">
      <w:bodyDiv w:val="1"/>
      <w:marLeft w:val="0"/>
      <w:marRight w:val="0"/>
      <w:marTop w:val="0"/>
      <w:marBottom w:val="0"/>
      <w:divBdr>
        <w:top w:val="none" w:sz="0" w:space="0" w:color="auto"/>
        <w:left w:val="none" w:sz="0" w:space="0" w:color="auto"/>
        <w:bottom w:val="none" w:sz="0" w:space="0" w:color="auto"/>
        <w:right w:val="none" w:sz="0" w:space="0" w:color="auto"/>
      </w:divBdr>
    </w:div>
    <w:div w:id="986931177">
      <w:bodyDiv w:val="1"/>
      <w:marLeft w:val="0"/>
      <w:marRight w:val="0"/>
      <w:marTop w:val="0"/>
      <w:marBottom w:val="0"/>
      <w:divBdr>
        <w:top w:val="none" w:sz="0" w:space="0" w:color="auto"/>
        <w:left w:val="none" w:sz="0" w:space="0" w:color="auto"/>
        <w:bottom w:val="none" w:sz="0" w:space="0" w:color="auto"/>
        <w:right w:val="none" w:sz="0" w:space="0" w:color="auto"/>
      </w:divBdr>
    </w:div>
    <w:div w:id="1042823454">
      <w:bodyDiv w:val="1"/>
      <w:marLeft w:val="0"/>
      <w:marRight w:val="0"/>
      <w:marTop w:val="0"/>
      <w:marBottom w:val="0"/>
      <w:divBdr>
        <w:top w:val="none" w:sz="0" w:space="0" w:color="auto"/>
        <w:left w:val="none" w:sz="0" w:space="0" w:color="auto"/>
        <w:bottom w:val="none" w:sz="0" w:space="0" w:color="auto"/>
        <w:right w:val="none" w:sz="0" w:space="0" w:color="auto"/>
      </w:divBdr>
    </w:div>
    <w:div w:id="1071346596">
      <w:bodyDiv w:val="1"/>
      <w:marLeft w:val="0"/>
      <w:marRight w:val="0"/>
      <w:marTop w:val="0"/>
      <w:marBottom w:val="0"/>
      <w:divBdr>
        <w:top w:val="none" w:sz="0" w:space="0" w:color="auto"/>
        <w:left w:val="none" w:sz="0" w:space="0" w:color="auto"/>
        <w:bottom w:val="none" w:sz="0" w:space="0" w:color="auto"/>
        <w:right w:val="none" w:sz="0" w:space="0" w:color="auto"/>
      </w:divBdr>
    </w:div>
    <w:div w:id="1219173429">
      <w:bodyDiv w:val="1"/>
      <w:marLeft w:val="0"/>
      <w:marRight w:val="0"/>
      <w:marTop w:val="0"/>
      <w:marBottom w:val="0"/>
      <w:divBdr>
        <w:top w:val="none" w:sz="0" w:space="0" w:color="auto"/>
        <w:left w:val="none" w:sz="0" w:space="0" w:color="auto"/>
        <w:bottom w:val="none" w:sz="0" w:space="0" w:color="auto"/>
        <w:right w:val="none" w:sz="0" w:space="0" w:color="auto"/>
      </w:divBdr>
    </w:div>
    <w:div w:id="1257707646">
      <w:bodyDiv w:val="1"/>
      <w:marLeft w:val="0"/>
      <w:marRight w:val="0"/>
      <w:marTop w:val="0"/>
      <w:marBottom w:val="0"/>
      <w:divBdr>
        <w:top w:val="none" w:sz="0" w:space="0" w:color="auto"/>
        <w:left w:val="none" w:sz="0" w:space="0" w:color="auto"/>
        <w:bottom w:val="none" w:sz="0" w:space="0" w:color="auto"/>
        <w:right w:val="none" w:sz="0" w:space="0" w:color="auto"/>
      </w:divBdr>
    </w:div>
    <w:div w:id="1513641385">
      <w:bodyDiv w:val="1"/>
      <w:marLeft w:val="0"/>
      <w:marRight w:val="0"/>
      <w:marTop w:val="0"/>
      <w:marBottom w:val="0"/>
      <w:divBdr>
        <w:top w:val="none" w:sz="0" w:space="0" w:color="auto"/>
        <w:left w:val="none" w:sz="0" w:space="0" w:color="auto"/>
        <w:bottom w:val="none" w:sz="0" w:space="0" w:color="auto"/>
        <w:right w:val="none" w:sz="0" w:space="0" w:color="auto"/>
      </w:divBdr>
    </w:div>
    <w:div w:id="1578400245">
      <w:bodyDiv w:val="1"/>
      <w:marLeft w:val="0"/>
      <w:marRight w:val="0"/>
      <w:marTop w:val="0"/>
      <w:marBottom w:val="0"/>
      <w:divBdr>
        <w:top w:val="none" w:sz="0" w:space="0" w:color="auto"/>
        <w:left w:val="none" w:sz="0" w:space="0" w:color="auto"/>
        <w:bottom w:val="none" w:sz="0" w:space="0" w:color="auto"/>
        <w:right w:val="none" w:sz="0" w:space="0" w:color="auto"/>
      </w:divBdr>
    </w:div>
    <w:div w:id="1647781998">
      <w:bodyDiv w:val="1"/>
      <w:marLeft w:val="0"/>
      <w:marRight w:val="0"/>
      <w:marTop w:val="0"/>
      <w:marBottom w:val="0"/>
      <w:divBdr>
        <w:top w:val="none" w:sz="0" w:space="0" w:color="auto"/>
        <w:left w:val="none" w:sz="0" w:space="0" w:color="auto"/>
        <w:bottom w:val="none" w:sz="0" w:space="0" w:color="auto"/>
        <w:right w:val="none" w:sz="0" w:space="0" w:color="auto"/>
      </w:divBdr>
    </w:div>
    <w:div w:id="1832139613">
      <w:bodyDiv w:val="1"/>
      <w:marLeft w:val="0"/>
      <w:marRight w:val="0"/>
      <w:marTop w:val="0"/>
      <w:marBottom w:val="0"/>
      <w:divBdr>
        <w:top w:val="none" w:sz="0" w:space="0" w:color="auto"/>
        <w:left w:val="none" w:sz="0" w:space="0" w:color="auto"/>
        <w:bottom w:val="none" w:sz="0" w:space="0" w:color="auto"/>
        <w:right w:val="none" w:sz="0" w:space="0" w:color="auto"/>
      </w:divBdr>
    </w:div>
    <w:div w:id="2096509960">
      <w:bodyDiv w:val="1"/>
      <w:marLeft w:val="0"/>
      <w:marRight w:val="0"/>
      <w:marTop w:val="0"/>
      <w:marBottom w:val="0"/>
      <w:divBdr>
        <w:top w:val="none" w:sz="0" w:space="0" w:color="auto"/>
        <w:left w:val="none" w:sz="0" w:space="0" w:color="auto"/>
        <w:bottom w:val="none" w:sz="0" w:space="0" w:color="auto"/>
        <w:right w:val="none" w:sz="0" w:space="0" w:color="auto"/>
      </w:divBdr>
    </w:div>
    <w:div w:id="2099135775">
      <w:bodyDiv w:val="1"/>
      <w:marLeft w:val="0"/>
      <w:marRight w:val="0"/>
      <w:marTop w:val="0"/>
      <w:marBottom w:val="0"/>
      <w:divBdr>
        <w:top w:val="none" w:sz="0" w:space="0" w:color="auto"/>
        <w:left w:val="none" w:sz="0" w:space="0" w:color="auto"/>
        <w:bottom w:val="none" w:sz="0" w:space="0" w:color="auto"/>
        <w:right w:val="none" w:sz="0" w:space="0" w:color="auto"/>
      </w:divBdr>
    </w:div>
    <w:div w:id="2130276562">
      <w:bodyDiv w:val="1"/>
      <w:marLeft w:val="0"/>
      <w:marRight w:val="0"/>
      <w:marTop w:val="0"/>
      <w:marBottom w:val="0"/>
      <w:divBdr>
        <w:top w:val="none" w:sz="0" w:space="0" w:color="auto"/>
        <w:left w:val="none" w:sz="0" w:space="0" w:color="auto"/>
        <w:bottom w:val="none" w:sz="0" w:space="0" w:color="auto"/>
        <w:right w:val="none" w:sz="0" w:space="0" w:color="auto"/>
      </w:divBdr>
    </w:div>
    <w:div w:id="2138642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Haut-Commissariat_des_Nations_unies_aux_droits_de_l%27hom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ingast\Desktop\PSEA\version%20after%20rework%2016112017\PSEA%20ISP%20Clean%20doc.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35FF02-3DB8-4B5A-AAB0-C439723A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PSEA ISP Clean doc</Template>
  <TotalTime>1</TotalTime>
  <Pages>13</Pages>
  <Words>3371</Words>
  <Characters>19221</Characters>
  <Application>Microsoft Office Word</Application>
  <DocSecurity>0</DocSecurity>
  <Lines>160</Lines>
  <Paragraphs>45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United Nations</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Meingast</dc:creator>
  <cp:keywords/>
  <cp:lastModifiedBy>HILEMAN Alexandra</cp:lastModifiedBy>
  <cp:revision>2</cp:revision>
  <cp:lastPrinted>2017-03-09T13:28:00Z</cp:lastPrinted>
  <dcterms:created xsi:type="dcterms:W3CDTF">2020-07-28T13:18:00Z</dcterms:created>
  <dcterms:modified xsi:type="dcterms:W3CDTF">2020-07-28T13:18:00Z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2020-07-28T13:18:06Z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9b04e9fd-f9fd-46be-84ce-ead1d7d128b9</vt:lpwstr>
  </property>
  <property fmtid="{D5CDD505-2E9C-101B-9397-08002B2CF9AE}" pid="8" name="MSIP_Label_2059aa38-f392-4105-be92-628035578272_ContentBits">
    <vt:lpwstr>0</vt:lpwstr>
  </property>
</Properties>
</file>