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9717" w14:textId="16EDAEB2" w:rsidR="005D177C" w:rsidRPr="00B374F4" w:rsidRDefault="000A7E14" w:rsidP="00B374F4">
      <w:pPr>
        <w:pStyle w:val="NoSpacing"/>
        <w:jc w:val="center"/>
        <w:rPr>
          <w:b/>
          <w:bCs/>
          <w:color w:val="002060"/>
          <w:sz w:val="28"/>
          <w:szCs w:val="28"/>
        </w:rPr>
      </w:pPr>
      <w:r w:rsidRPr="00B374F4">
        <w:rPr>
          <w:b/>
          <w:bCs/>
          <w:color w:val="002060"/>
          <w:sz w:val="28"/>
          <w:szCs w:val="28"/>
        </w:rPr>
        <w:t>2024</w:t>
      </w:r>
      <w:r>
        <w:rPr>
          <w:b/>
          <w:bCs/>
          <w:color w:val="002060"/>
          <w:sz w:val="28"/>
          <w:szCs w:val="28"/>
        </w:rPr>
        <w:t xml:space="preserve"> </w:t>
      </w:r>
      <w:r w:rsidR="00173476">
        <w:rPr>
          <w:b/>
          <w:bCs/>
          <w:color w:val="002060"/>
          <w:sz w:val="28"/>
          <w:szCs w:val="28"/>
        </w:rPr>
        <w:t>UNCT</w:t>
      </w:r>
      <w:r w:rsidR="005D177C" w:rsidRPr="00B374F4">
        <w:rPr>
          <w:b/>
          <w:bCs/>
          <w:color w:val="002060"/>
          <w:sz w:val="28"/>
          <w:szCs w:val="28"/>
        </w:rPr>
        <w:t xml:space="preserve"> Action Plan to Prevent and Respond to Sexual Exploitation and Abuse </w:t>
      </w:r>
      <w:r>
        <w:rPr>
          <w:b/>
          <w:bCs/>
          <w:color w:val="002060"/>
          <w:sz w:val="28"/>
          <w:szCs w:val="28"/>
        </w:rPr>
        <w:t>in Ukraine</w:t>
      </w:r>
    </w:p>
    <w:p w14:paraId="78E012E3" w14:textId="77777777" w:rsidR="005D177C" w:rsidRDefault="005D177C" w:rsidP="005D177C">
      <w:pPr>
        <w:pStyle w:val="NoSpacing"/>
      </w:pPr>
    </w:p>
    <w:p w14:paraId="6BD31F04" w14:textId="72B9DB4B" w:rsidR="005D177C" w:rsidRDefault="00173476" w:rsidP="003F10DC">
      <w:pPr>
        <w:pStyle w:val="NoSpacing"/>
        <w:jc w:val="both"/>
      </w:pPr>
      <w:r w:rsidRPr="00173476">
        <w:t xml:space="preserve">Bearing in mind the evolving security and humanitarian situation in Ukraine, the Country-level Action Plan for the UNCT in Ukraine encompasses the PSEA related obligations of the </w:t>
      </w:r>
      <w:hyperlink r:id="rId5" w:history="1">
        <w:r w:rsidRPr="00173476">
          <w:rPr>
            <w:rStyle w:val="Hyperlink"/>
          </w:rPr>
          <w:t>Management and Accountability Framework (MAF)</w:t>
        </w:r>
      </w:hyperlink>
      <w:r w:rsidRPr="00173476">
        <w:t xml:space="preserve"> for the dual accountability system based on individual mandates, organizations and as part of the PSEA Country structure (UNCT</w:t>
      </w:r>
      <w:r>
        <w:t xml:space="preserve">). </w:t>
      </w:r>
      <w:r w:rsidRPr="00173476">
        <w:t>The prioritization will be implemented by individual UN agencies and collectively through the PSEA Network (technical body composed of PSEA Focal Points/technical experts). The current action plan may be reviewed, as required, to ensure alignment with the complementary and main country action plan (HCT PSEA Action Plan) in order to address issues arising from implementation and inter-agency coordination.</w:t>
      </w:r>
    </w:p>
    <w:p w14:paraId="15385C29" w14:textId="77777777" w:rsidR="00173476" w:rsidRDefault="00173476" w:rsidP="005D177C">
      <w:pPr>
        <w:pStyle w:val="NoSpacing"/>
      </w:pPr>
    </w:p>
    <w:p w14:paraId="7F826A9D" w14:textId="209D844C" w:rsidR="005D177C" w:rsidRPr="0015389E" w:rsidRDefault="00D24FF3" w:rsidP="005D177C">
      <w:pPr>
        <w:pStyle w:val="NoSpacing"/>
        <w:rPr>
          <w:b/>
          <w:bCs/>
          <w:color w:val="002060"/>
          <w:sz w:val="28"/>
          <w:szCs w:val="28"/>
        </w:rPr>
      </w:pPr>
      <w:r w:rsidRPr="0015389E">
        <w:rPr>
          <w:b/>
          <w:bCs/>
          <w:color w:val="002060"/>
          <w:sz w:val="28"/>
          <w:szCs w:val="28"/>
        </w:rPr>
        <w:t>Outcome Area 1 – Prevention</w:t>
      </w:r>
    </w:p>
    <w:p w14:paraId="3BFF2057" w14:textId="0ED9F3E5" w:rsidR="00D24FF3" w:rsidRPr="001A3153" w:rsidRDefault="00D24FF3" w:rsidP="00D24FF3">
      <w:pPr>
        <w:pStyle w:val="NoSpacing"/>
        <w:rPr>
          <w:b/>
          <w:bCs/>
          <w:color w:val="002060"/>
        </w:rPr>
      </w:pPr>
      <w:r w:rsidRPr="001A3153">
        <w:rPr>
          <w:b/>
          <w:bCs/>
          <w:color w:val="002060"/>
        </w:rPr>
        <w:t xml:space="preserve">Outcome Statement 1: </w:t>
      </w:r>
      <w:r w:rsidR="00173476" w:rsidRPr="001A3153">
        <w:rPr>
          <w:b/>
          <w:bCs/>
          <w:color w:val="002060"/>
        </w:rPr>
        <w:t>All UNCT staff and related personnel know the UN standards of conduct for PSEA, understand their responsibilities to address sexual exploitation and abuse and other misconduct, and have access to regular communications, awareness-raising and/or continuing training opportunities on PSEA.</w:t>
      </w:r>
    </w:p>
    <w:p w14:paraId="07EC4C74" w14:textId="77777777" w:rsidR="00B374F4" w:rsidRDefault="00B374F4" w:rsidP="00D24FF3">
      <w:pPr>
        <w:pStyle w:val="NoSpacing"/>
      </w:pPr>
    </w:p>
    <w:p w14:paraId="2BC62AB4" w14:textId="2F63EA66" w:rsidR="00D24FF3" w:rsidRPr="00D24FF3" w:rsidRDefault="00D24FF3" w:rsidP="00D24FF3">
      <w:pPr>
        <w:pStyle w:val="NoSpacing"/>
        <w:rPr>
          <w:b/>
          <w:bCs/>
        </w:rPr>
      </w:pPr>
      <w:r w:rsidRPr="00D24FF3">
        <w:rPr>
          <w:b/>
          <w:bCs/>
        </w:rPr>
        <w:t xml:space="preserve">Output 1.1 </w:t>
      </w:r>
      <w:r w:rsidR="00173476" w:rsidRPr="00173476">
        <w:rPr>
          <w:b/>
          <w:bCs/>
        </w:rPr>
        <w:t>All personnel understand the United Nations standards of conduct on the protection from sexual exploitation and abuse.</w:t>
      </w:r>
    </w:p>
    <w:tbl>
      <w:tblPr>
        <w:tblStyle w:val="TableGrid"/>
        <w:tblW w:w="0" w:type="auto"/>
        <w:tblCellMar>
          <w:left w:w="72" w:type="dxa"/>
          <w:right w:w="72" w:type="dxa"/>
        </w:tblCellMar>
        <w:tblLook w:val="04A0" w:firstRow="1" w:lastRow="0" w:firstColumn="1" w:lastColumn="0" w:noHBand="0" w:noVBand="1"/>
      </w:tblPr>
      <w:tblGrid>
        <w:gridCol w:w="2335"/>
        <w:gridCol w:w="2520"/>
        <w:gridCol w:w="4860"/>
        <w:gridCol w:w="1170"/>
        <w:gridCol w:w="1621"/>
        <w:gridCol w:w="1974"/>
      </w:tblGrid>
      <w:tr w:rsidR="004759E8" w14:paraId="25EDE435" w14:textId="77777777" w:rsidTr="00831983">
        <w:trPr>
          <w:tblHeader/>
        </w:trPr>
        <w:tc>
          <w:tcPr>
            <w:tcW w:w="2335" w:type="dxa"/>
            <w:shd w:val="clear" w:color="auto" w:fill="4472C4" w:themeFill="accent1"/>
          </w:tcPr>
          <w:p w14:paraId="5F4EFFAC" w14:textId="15D6DE6B" w:rsidR="00D24FF3" w:rsidRPr="00D24FF3" w:rsidRDefault="00D24FF3" w:rsidP="00D24FF3">
            <w:pPr>
              <w:pStyle w:val="NoSpacing"/>
              <w:rPr>
                <w:color w:val="FFFFFF" w:themeColor="background1"/>
              </w:rPr>
            </w:pPr>
            <w:r>
              <w:rPr>
                <w:color w:val="FFFFFF" w:themeColor="background1"/>
              </w:rPr>
              <w:t>Indicator</w:t>
            </w:r>
          </w:p>
        </w:tc>
        <w:tc>
          <w:tcPr>
            <w:tcW w:w="2520" w:type="dxa"/>
            <w:shd w:val="clear" w:color="auto" w:fill="4472C4" w:themeFill="accent1"/>
          </w:tcPr>
          <w:p w14:paraId="74B3650A" w14:textId="73117789" w:rsidR="00D24FF3" w:rsidRPr="00D24FF3" w:rsidRDefault="00D24FF3" w:rsidP="00D24FF3">
            <w:pPr>
              <w:pStyle w:val="NoSpacing"/>
              <w:rPr>
                <w:color w:val="FFFFFF" w:themeColor="background1"/>
              </w:rPr>
            </w:pPr>
            <w:r>
              <w:rPr>
                <w:color w:val="FFFFFF" w:themeColor="background1"/>
              </w:rPr>
              <w:t>Target/Benchmark</w:t>
            </w:r>
          </w:p>
        </w:tc>
        <w:tc>
          <w:tcPr>
            <w:tcW w:w="4860" w:type="dxa"/>
            <w:shd w:val="clear" w:color="auto" w:fill="4472C4" w:themeFill="accent1"/>
          </w:tcPr>
          <w:p w14:paraId="21381EA1" w14:textId="76E965BE" w:rsidR="00D24FF3" w:rsidRPr="00D24FF3" w:rsidRDefault="00D24FF3" w:rsidP="00D24FF3">
            <w:pPr>
              <w:pStyle w:val="NoSpacing"/>
              <w:rPr>
                <w:color w:val="FFFFFF" w:themeColor="background1"/>
              </w:rPr>
            </w:pPr>
            <w:r>
              <w:rPr>
                <w:color w:val="FFFFFF" w:themeColor="background1"/>
              </w:rPr>
              <w:t>Key Action</w:t>
            </w:r>
          </w:p>
        </w:tc>
        <w:tc>
          <w:tcPr>
            <w:tcW w:w="1170" w:type="dxa"/>
            <w:shd w:val="clear" w:color="auto" w:fill="4472C4" w:themeFill="accent1"/>
          </w:tcPr>
          <w:p w14:paraId="00FBD2D8" w14:textId="0A31BA9D" w:rsidR="00D24FF3" w:rsidRPr="00D24FF3" w:rsidRDefault="00D24FF3" w:rsidP="00D24FF3">
            <w:pPr>
              <w:pStyle w:val="NoSpacing"/>
              <w:rPr>
                <w:color w:val="FFFFFF" w:themeColor="background1"/>
              </w:rPr>
            </w:pPr>
            <w:r>
              <w:rPr>
                <w:color w:val="FFFFFF" w:themeColor="background1"/>
              </w:rPr>
              <w:t>Timeframe</w:t>
            </w:r>
          </w:p>
        </w:tc>
        <w:tc>
          <w:tcPr>
            <w:tcW w:w="1621" w:type="dxa"/>
            <w:shd w:val="clear" w:color="auto" w:fill="4472C4" w:themeFill="accent1"/>
          </w:tcPr>
          <w:p w14:paraId="57D45F77" w14:textId="5E796A20" w:rsidR="00D24FF3" w:rsidRPr="00D24FF3" w:rsidRDefault="00D24FF3" w:rsidP="00D24FF3">
            <w:pPr>
              <w:pStyle w:val="NoSpacing"/>
              <w:rPr>
                <w:color w:val="FFFFFF" w:themeColor="background1"/>
              </w:rPr>
            </w:pPr>
            <w:r>
              <w:rPr>
                <w:color w:val="FFFFFF" w:themeColor="background1"/>
              </w:rPr>
              <w:t>Budget/Funding</w:t>
            </w:r>
          </w:p>
        </w:tc>
        <w:tc>
          <w:tcPr>
            <w:tcW w:w="1974" w:type="dxa"/>
            <w:shd w:val="clear" w:color="auto" w:fill="4472C4" w:themeFill="accent1"/>
          </w:tcPr>
          <w:p w14:paraId="095F3E83" w14:textId="6F00F541" w:rsidR="00D24FF3" w:rsidRPr="00D24FF3" w:rsidRDefault="00D24FF3" w:rsidP="00D24FF3">
            <w:pPr>
              <w:pStyle w:val="NoSpacing"/>
              <w:rPr>
                <w:color w:val="FFFFFF" w:themeColor="background1"/>
              </w:rPr>
            </w:pPr>
            <w:r>
              <w:rPr>
                <w:color w:val="FFFFFF" w:themeColor="background1"/>
              </w:rPr>
              <w:t>Lead Agency/</w:t>
            </w:r>
            <w:proofErr w:type="spellStart"/>
            <w:r>
              <w:rPr>
                <w:color w:val="FFFFFF" w:themeColor="background1"/>
              </w:rPr>
              <w:t>ies</w:t>
            </w:r>
            <w:proofErr w:type="spellEnd"/>
          </w:p>
        </w:tc>
      </w:tr>
      <w:tr w:rsidR="004759E8" w14:paraId="6405CD6B" w14:textId="77777777" w:rsidTr="00831983">
        <w:tc>
          <w:tcPr>
            <w:tcW w:w="2335" w:type="dxa"/>
          </w:tcPr>
          <w:p w14:paraId="32589D12" w14:textId="7E751DD5" w:rsidR="00D24FF3" w:rsidRDefault="0008620E" w:rsidP="00D24FF3">
            <w:pPr>
              <w:pStyle w:val="NoSpacing"/>
            </w:pPr>
            <w:r>
              <w:t xml:space="preserve">a. </w:t>
            </w:r>
            <w:r w:rsidR="00173476" w:rsidRPr="00173476">
              <w:t># of UNCT personnel, including visitors, have been provided with an induction briefing -which includes sexual exploitation and abuse (PSEA) welcome package</w:t>
            </w:r>
          </w:p>
        </w:tc>
        <w:tc>
          <w:tcPr>
            <w:tcW w:w="2520" w:type="dxa"/>
          </w:tcPr>
          <w:p w14:paraId="0C8E90E3" w14:textId="52BD7FDA" w:rsidR="00D24FF3" w:rsidRDefault="00173476" w:rsidP="00D24FF3">
            <w:pPr>
              <w:pStyle w:val="NoSpacing"/>
            </w:pPr>
            <w:r w:rsidRPr="00173476">
              <w:t>100% of all UN personnel have received an induction briefing including SEA</w:t>
            </w:r>
          </w:p>
        </w:tc>
        <w:tc>
          <w:tcPr>
            <w:tcW w:w="4860" w:type="dxa"/>
          </w:tcPr>
          <w:p w14:paraId="545903AB" w14:textId="344971E6" w:rsidR="00D24FF3" w:rsidRDefault="0008620E" w:rsidP="00D24FF3">
            <w:pPr>
              <w:pStyle w:val="NoSpacing"/>
            </w:pPr>
            <w:r w:rsidRPr="0008620E">
              <w:t>• Key messages on DONTs included as part of mandatory safety briefings for new personnel deployed (PSEA policy/code of conduct and received a copy of the 2003 UN SG Bulletin / 2017 SG Bulletin or UN standards of conduct) - confirmation that these standards are understood and accepted (within 1st month of work)</w:t>
            </w:r>
          </w:p>
        </w:tc>
        <w:tc>
          <w:tcPr>
            <w:tcW w:w="1170" w:type="dxa"/>
          </w:tcPr>
          <w:p w14:paraId="75EEA197" w14:textId="2B274514" w:rsidR="00D24FF3" w:rsidRDefault="0008620E" w:rsidP="00D24FF3">
            <w:pPr>
              <w:pStyle w:val="NoSpacing"/>
            </w:pPr>
            <w:r>
              <w:rPr>
                <w:rFonts w:ascii="Calibri" w:hAnsi="Calibri" w:cs="Calibri"/>
                <w:color w:val="000000"/>
              </w:rPr>
              <w:t>Quarterly</w:t>
            </w:r>
          </w:p>
        </w:tc>
        <w:tc>
          <w:tcPr>
            <w:tcW w:w="1621" w:type="dxa"/>
          </w:tcPr>
          <w:p w14:paraId="5EBA2254" w14:textId="5BC385A8" w:rsidR="00D24FF3" w:rsidRDefault="0008620E" w:rsidP="00D24FF3">
            <w:pPr>
              <w:pStyle w:val="NoSpacing"/>
            </w:pPr>
            <w:r>
              <w:t>N/A</w:t>
            </w:r>
          </w:p>
        </w:tc>
        <w:tc>
          <w:tcPr>
            <w:tcW w:w="1974" w:type="dxa"/>
          </w:tcPr>
          <w:p w14:paraId="25C3CFC0" w14:textId="5EE0AF99" w:rsidR="00D24FF3" w:rsidRDefault="0008620E" w:rsidP="00D24FF3">
            <w:pPr>
              <w:pStyle w:val="NoSpacing"/>
            </w:pPr>
            <w:r w:rsidRPr="0008620E">
              <w:t>UNDSS and all UN Agencies (certificates or participations in trainings monitored/tracked by Human Resources)</w:t>
            </w:r>
          </w:p>
        </w:tc>
      </w:tr>
      <w:tr w:rsidR="004759E8" w14:paraId="19AD711A" w14:textId="77777777" w:rsidTr="00831983">
        <w:tc>
          <w:tcPr>
            <w:tcW w:w="2335" w:type="dxa"/>
          </w:tcPr>
          <w:p w14:paraId="4DA66573" w14:textId="65FE9CCE" w:rsidR="00D24FF3" w:rsidRDefault="0008620E" w:rsidP="00D24FF3">
            <w:pPr>
              <w:pStyle w:val="NoSpacing"/>
            </w:pPr>
            <w:r w:rsidRPr="0008620E">
              <w:t>b. # of UNCT in-country personnel, including visitors, have been trained on the United Nations standards of conduct on the protection from sexual exploitation and abuse, incl. the requirements for prompt and mandatory reporting of SEA allegations to respective agency and interagency PSEA SOPs on information sharing</w:t>
            </w:r>
          </w:p>
        </w:tc>
        <w:tc>
          <w:tcPr>
            <w:tcW w:w="2520" w:type="dxa"/>
          </w:tcPr>
          <w:p w14:paraId="038ED5FB" w14:textId="6C0D0FFE" w:rsidR="00D24FF3" w:rsidRDefault="0008620E" w:rsidP="00D24FF3">
            <w:pPr>
              <w:pStyle w:val="NoSpacing"/>
            </w:pPr>
            <w:r w:rsidRPr="0008620E">
              <w:t>100% of all UN personnel has received one training session on PSEA, signed a code of conduct/PSEA commitments based on SG bulletins, understand and are aware of the PSEA policies, incl.  the policy against retaliation for reporting misconduct (</w:t>
            </w:r>
            <w:hyperlink r:id="rId6" w:history="1">
              <w:r w:rsidRPr="0008620E">
                <w:rPr>
                  <w:rStyle w:val="Hyperlink"/>
                </w:rPr>
                <w:t>ST/SGB/2017/2/Rev.1</w:t>
              </w:r>
            </w:hyperlink>
            <w:r w:rsidRPr="0008620E">
              <w:t>)</w:t>
            </w:r>
          </w:p>
        </w:tc>
        <w:tc>
          <w:tcPr>
            <w:tcW w:w="4860" w:type="dxa"/>
          </w:tcPr>
          <w:p w14:paraId="370437A6" w14:textId="3E154AAE" w:rsidR="0008620E" w:rsidRDefault="0008620E" w:rsidP="0008620E">
            <w:pPr>
              <w:pStyle w:val="NoSpacing"/>
            </w:pPr>
            <w:r>
              <w:t>• Mandatory, refreshing and continuing training opportunities provided and awareness-raising on PSEA is conducted regularly by PSEA FPs.</w:t>
            </w:r>
          </w:p>
          <w:p w14:paraId="37D7B452" w14:textId="77777777" w:rsidR="0008620E" w:rsidRDefault="0008620E" w:rsidP="0008620E">
            <w:pPr>
              <w:pStyle w:val="NoSpacing"/>
            </w:pPr>
          </w:p>
          <w:p w14:paraId="6094DF7D" w14:textId="77777777" w:rsidR="00D24FF3" w:rsidRDefault="0008620E" w:rsidP="0008620E">
            <w:pPr>
              <w:pStyle w:val="NoSpacing"/>
            </w:pPr>
            <w:r>
              <w:t>• Print and disseminate PSEA awareness raising material (posters, leaflets, stickers, etc) in all UN locations</w:t>
            </w:r>
          </w:p>
          <w:p w14:paraId="458F7146" w14:textId="77777777" w:rsidR="0024782B" w:rsidRDefault="0024782B" w:rsidP="0008620E">
            <w:pPr>
              <w:pStyle w:val="NoSpacing"/>
            </w:pPr>
          </w:p>
          <w:p w14:paraId="19B3B290" w14:textId="075949BE" w:rsidR="0024782B" w:rsidRDefault="0024782B" w:rsidP="0008620E">
            <w:pPr>
              <w:pStyle w:val="NoSpacing"/>
            </w:pPr>
            <w:r w:rsidRPr="0024782B">
              <w:t>• Vulgarization and translation of Policy for Protection against Retaliation and interagency PSEA SOPs on referrals</w:t>
            </w:r>
          </w:p>
        </w:tc>
        <w:tc>
          <w:tcPr>
            <w:tcW w:w="1170" w:type="dxa"/>
          </w:tcPr>
          <w:p w14:paraId="2855E862" w14:textId="0BA94574" w:rsidR="00D24FF3" w:rsidRDefault="0008620E" w:rsidP="00D24FF3">
            <w:pPr>
              <w:pStyle w:val="NoSpacing"/>
              <w:rPr>
                <w:color w:val="000000"/>
              </w:rPr>
            </w:pPr>
            <w:r>
              <w:rPr>
                <w:color w:val="000000"/>
              </w:rPr>
              <w:t>Quarterly</w:t>
            </w:r>
          </w:p>
          <w:p w14:paraId="37F3A776" w14:textId="77777777" w:rsidR="0008620E" w:rsidRDefault="0008620E" w:rsidP="00D24FF3">
            <w:pPr>
              <w:pStyle w:val="NoSpacing"/>
              <w:rPr>
                <w:color w:val="000000"/>
              </w:rPr>
            </w:pPr>
          </w:p>
          <w:p w14:paraId="63625975" w14:textId="77777777" w:rsidR="0008620E" w:rsidRDefault="0008620E" w:rsidP="00D24FF3">
            <w:pPr>
              <w:pStyle w:val="NoSpacing"/>
              <w:rPr>
                <w:color w:val="000000"/>
              </w:rPr>
            </w:pPr>
          </w:p>
          <w:p w14:paraId="066DD0AC" w14:textId="77777777" w:rsidR="0008620E" w:rsidRDefault="0008620E" w:rsidP="00D24FF3">
            <w:pPr>
              <w:pStyle w:val="NoSpacing"/>
              <w:rPr>
                <w:color w:val="000000"/>
              </w:rPr>
            </w:pPr>
          </w:p>
          <w:p w14:paraId="4CB5EB75" w14:textId="77777777" w:rsidR="0008620E" w:rsidRDefault="0008620E" w:rsidP="0008620E">
            <w:pPr>
              <w:pStyle w:val="NoSpacing"/>
              <w:rPr>
                <w:color w:val="000000"/>
              </w:rPr>
            </w:pPr>
            <w:r>
              <w:rPr>
                <w:color w:val="000000"/>
              </w:rPr>
              <w:t>Quarterly</w:t>
            </w:r>
          </w:p>
          <w:p w14:paraId="3AB68307" w14:textId="77777777" w:rsidR="0008620E" w:rsidRDefault="0008620E" w:rsidP="00D24FF3">
            <w:pPr>
              <w:pStyle w:val="NoSpacing"/>
            </w:pPr>
          </w:p>
          <w:p w14:paraId="1521C0D6" w14:textId="77777777" w:rsidR="0024782B" w:rsidRDefault="0024782B" w:rsidP="00D24FF3">
            <w:pPr>
              <w:pStyle w:val="NoSpacing"/>
            </w:pPr>
          </w:p>
          <w:p w14:paraId="62AE1D50" w14:textId="77777777" w:rsidR="0024782B" w:rsidRDefault="0024782B" w:rsidP="00D24FF3">
            <w:pPr>
              <w:pStyle w:val="NoSpacing"/>
            </w:pPr>
          </w:p>
          <w:p w14:paraId="1DD5F084" w14:textId="517214E7" w:rsidR="0024782B" w:rsidRDefault="0024782B" w:rsidP="00D24FF3">
            <w:pPr>
              <w:pStyle w:val="NoSpacing"/>
            </w:pPr>
            <w:r>
              <w:t>Q1</w:t>
            </w:r>
          </w:p>
        </w:tc>
        <w:tc>
          <w:tcPr>
            <w:tcW w:w="1621" w:type="dxa"/>
          </w:tcPr>
          <w:p w14:paraId="76557C33" w14:textId="77777777" w:rsidR="00D24FF3" w:rsidRDefault="00D24FF3" w:rsidP="00D24FF3">
            <w:pPr>
              <w:pStyle w:val="NoSpacing"/>
            </w:pPr>
            <w:r>
              <w:t>Internal Resources</w:t>
            </w:r>
          </w:p>
          <w:p w14:paraId="09A27F2B" w14:textId="77777777" w:rsidR="0008620E" w:rsidRDefault="0008620E" w:rsidP="00D24FF3">
            <w:pPr>
              <w:pStyle w:val="NoSpacing"/>
            </w:pPr>
          </w:p>
          <w:p w14:paraId="10ADE656" w14:textId="77777777" w:rsidR="0008620E" w:rsidRDefault="0008620E" w:rsidP="00D24FF3">
            <w:pPr>
              <w:pStyle w:val="NoSpacing"/>
            </w:pPr>
          </w:p>
          <w:p w14:paraId="7EA0D64C" w14:textId="77777777" w:rsidR="0008620E" w:rsidRDefault="0008620E" w:rsidP="00D24FF3">
            <w:pPr>
              <w:pStyle w:val="NoSpacing"/>
            </w:pPr>
            <w:r>
              <w:t>Internal Resources</w:t>
            </w:r>
          </w:p>
          <w:p w14:paraId="62C41F8E" w14:textId="77777777" w:rsidR="0024782B" w:rsidRDefault="0024782B" w:rsidP="00D24FF3">
            <w:pPr>
              <w:pStyle w:val="NoSpacing"/>
            </w:pPr>
          </w:p>
          <w:p w14:paraId="7FE97406" w14:textId="77777777" w:rsidR="0024782B" w:rsidRDefault="0024782B" w:rsidP="00D24FF3">
            <w:pPr>
              <w:pStyle w:val="NoSpacing"/>
            </w:pPr>
          </w:p>
          <w:p w14:paraId="3378C641" w14:textId="1A4B2339" w:rsidR="0024782B" w:rsidRDefault="0024782B" w:rsidP="00D24FF3">
            <w:pPr>
              <w:pStyle w:val="NoSpacing"/>
            </w:pPr>
            <w:r>
              <w:t>Internal Resources</w:t>
            </w:r>
          </w:p>
        </w:tc>
        <w:tc>
          <w:tcPr>
            <w:tcW w:w="1974" w:type="dxa"/>
          </w:tcPr>
          <w:p w14:paraId="3B5A7E56" w14:textId="6A6F3569" w:rsidR="00D24FF3" w:rsidRDefault="0008620E" w:rsidP="00D24FF3">
            <w:pPr>
              <w:pStyle w:val="NoSpacing"/>
            </w:pPr>
            <w:r w:rsidRPr="0008620E">
              <w:t>Each UN agency (HR to track participation list or certificates of online trainings, conduct referrals/vetting and make sure that PSEA awareness material is visible)</w:t>
            </w:r>
          </w:p>
        </w:tc>
      </w:tr>
    </w:tbl>
    <w:p w14:paraId="3211CA3B" w14:textId="77777777" w:rsidR="00D24FF3" w:rsidRDefault="00D24FF3" w:rsidP="00D24FF3">
      <w:pPr>
        <w:pStyle w:val="NoSpacing"/>
      </w:pPr>
    </w:p>
    <w:p w14:paraId="2071E97B" w14:textId="47EAADAC" w:rsidR="00FF0178" w:rsidRPr="00D24FF3" w:rsidRDefault="00FF0178" w:rsidP="00FF0178">
      <w:pPr>
        <w:pStyle w:val="NoSpacing"/>
        <w:rPr>
          <w:b/>
          <w:bCs/>
        </w:rPr>
      </w:pPr>
      <w:r w:rsidRPr="00D24FF3">
        <w:rPr>
          <w:b/>
          <w:bCs/>
        </w:rPr>
        <w:lastRenderedPageBreak/>
        <w:t>Output 1.</w:t>
      </w:r>
      <w:r>
        <w:rPr>
          <w:b/>
          <w:bCs/>
        </w:rPr>
        <w:t>2</w:t>
      </w:r>
      <w:r w:rsidRPr="00D24FF3">
        <w:rPr>
          <w:b/>
          <w:bCs/>
        </w:rPr>
        <w:t xml:space="preserve"> </w:t>
      </w:r>
      <w:r w:rsidR="00DA7B76">
        <w:rPr>
          <w:b/>
          <w:bCs/>
        </w:rPr>
        <w:t xml:space="preserve">Leadership - </w:t>
      </w:r>
      <w:r w:rsidR="0015389E" w:rsidRPr="0015389E">
        <w:rPr>
          <w:b/>
          <w:bCs/>
        </w:rPr>
        <w:t>UN Managers and commanders know their personal and managerial/command responsibilities to address misconduct and are made aware of the procedures, rules and actions required to respond to incidents of misconduct.</w:t>
      </w:r>
    </w:p>
    <w:tbl>
      <w:tblPr>
        <w:tblStyle w:val="TableGrid"/>
        <w:tblW w:w="0" w:type="auto"/>
        <w:tblCellMar>
          <w:left w:w="72" w:type="dxa"/>
          <w:right w:w="72" w:type="dxa"/>
        </w:tblCellMar>
        <w:tblLook w:val="04A0" w:firstRow="1" w:lastRow="0" w:firstColumn="1" w:lastColumn="0" w:noHBand="0" w:noVBand="1"/>
      </w:tblPr>
      <w:tblGrid>
        <w:gridCol w:w="2335"/>
        <w:gridCol w:w="2508"/>
        <w:gridCol w:w="4872"/>
        <w:gridCol w:w="1170"/>
        <w:gridCol w:w="1620"/>
        <w:gridCol w:w="1975"/>
      </w:tblGrid>
      <w:tr w:rsidR="00DE4007" w14:paraId="52D99160" w14:textId="77777777" w:rsidTr="00831983">
        <w:trPr>
          <w:tblHeader/>
        </w:trPr>
        <w:tc>
          <w:tcPr>
            <w:tcW w:w="2335" w:type="dxa"/>
            <w:shd w:val="clear" w:color="auto" w:fill="4472C4" w:themeFill="accent1"/>
          </w:tcPr>
          <w:p w14:paraId="4D16C523" w14:textId="77777777" w:rsidR="00DE4007" w:rsidRPr="00D24FF3" w:rsidRDefault="00DE4007" w:rsidP="00DE4007">
            <w:pPr>
              <w:pStyle w:val="NoSpacing"/>
              <w:rPr>
                <w:color w:val="FFFFFF" w:themeColor="background1"/>
              </w:rPr>
            </w:pPr>
            <w:r>
              <w:rPr>
                <w:color w:val="FFFFFF" w:themeColor="background1"/>
              </w:rPr>
              <w:t>Indicator</w:t>
            </w:r>
          </w:p>
        </w:tc>
        <w:tc>
          <w:tcPr>
            <w:tcW w:w="2508" w:type="dxa"/>
            <w:shd w:val="clear" w:color="auto" w:fill="4472C4" w:themeFill="accent1"/>
          </w:tcPr>
          <w:p w14:paraId="7D95A50E" w14:textId="77777777" w:rsidR="00DE4007" w:rsidRPr="00D24FF3" w:rsidRDefault="00DE4007" w:rsidP="00DE4007">
            <w:pPr>
              <w:pStyle w:val="NoSpacing"/>
              <w:rPr>
                <w:color w:val="FFFFFF" w:themeColor="background1"/>
              </w:rPr>
            </w:pPr>
            <w:r>
              <w:rPr>
                <w:color w:val="FFFFFF" w:themeColor="background1"/>
              </w:rPr>
              <w:t>Target/Benchmark</w:t>
            </w:r>
          </w:p>
        </w:tc>
        <w:tc>
          <w:tcPr>
            <w:tcW w:w="4872" w:type="dxa"/>
            <w:shd w:val="clear" w:color="auto" w:fill="4472C4" w:themeFill="accent1"/>
          </w:tcPr>
          <w:p w14:paraId="70EA0604" w14:textId="77777777" w:rsidR="00DE4007" w:rsidRPr="00D24FF3" w:rsidRDefault="00DE4007" w:rsidP="00DE4007">
            <w:pPr>
              <w:pStyle w:val="NoSpacing"/>
              <w:rPr>
                <w:color w:val="FFFFFF" w:themeColor="background1"/>
              </w:rPr>
            </w:pPr>
            <w:r>
              <w:rPr>
                <w:color w:val="FFFFFF" w:themeColor="background1"/>
              </w:rPr>
              <w:t>Key Action</w:t>
            </w:r>
          </w:p>
        </w:tc>
        <w:tc>
          <w:tcPr>
            <w:tcW w:w="1170" w:type="dxa"/>
            <w:shd w:val="clear" w:color="auto" w:fill="4472C4" w:themeFill="accent1"/>
          </w:tcPr>
          <w:p w14:paraId="5CF5B213" w14:textId="30D0DB7F" w:rsidR="00DE4007" w:rsidRPr="00D24FF3" w:rsidRDefault="00DE4007" w:rsidP="00DE4007">
            <w:pPr>
              <w:pStyle w:val="NoSpacing"/>
              <w:rPr>
                <w:color w:val="FFFFFF" w:themeColor="background1"/>
              </w:rPr>
            </w:pPr>
            <w:r>
              <w:rPr>
                <w:color w:val="FFFFFF" w:themeColor="background1"/>
              </w:rPr>
              <w:t>Timeframe</w:t>
            </w:r>
          </w:p>
        </w:tc>
        <w:tc>
          <w:tcPr>
            <w:tcW w:w="1620" w:type="dxa"/>
            <w:shd w:val="clear" w:color="auto" w:fill="4472C4" w:themeFill="accent1"/>
          </w:tcPr>
          <w:p w14:paraId="58BD6F06" w14:textId="44264A2F" w:rsidR="00DE4007" w:rsidRPr="00D24FF3" w:rsidRDefault="00DE4007" w:rsidP="00DE4007">
            <w:pPr>
              <w:pStyle w:val="NoSpacing"/>
              <w:rPr>
                <w:color w:val="FFFFFF" w:themeColor="background1"/>
              </w:rPr>
            </w:pPr>
            <w:r>
              <w:rPr>
                <w:color w:val="FFFFFF" w:themeColor="background1"/>
              </w:rPr>
              <w:t>Budget/Funding</w:t>
            </w:r>
          </w:p>
        </w:tc>
        <w:tc>
          <w:tcPr>
            <w:tcW w:w="1975" w:type="dxa"/>
            <w:shd w:val="clear" w:color="auto" w:fill="4472C4" w:themeFill="accent1"/>
          </w:tcPr>
          <w:p w14:paraId="76591723" w14:textId="62FC44C8" w:rsidR="00DE4007" w:rsidRPr="00D24FF3" w:rsidRDefault="00DE4007" w:rsidP="00DE4007">
            <w:pPr>
              <w:pStyle w:val="NoSpacing"/>
              <w:rPr>
                <w:color w:val="FFFFFF" w:themeColor="background1"/>
              </w:rPr>
            </w:pPr>
            <w:r>
              <w:rPr>
                <w:color w:val="FFFFFF" w:themeColor="background1"/>
              </w:rPr>
              <w:t>Lead Agency/</w:t>
            </w:r>
            <w:proofErr w:type="spellStart"/>
            <w:r>
              <w:rPr>
                <w:color w:val="FFFFFF" w:themeColor="background1"/>
              </w:rPr>
              <w:t>ies</w:t>
            </w:r>
            <w:proofErr w:type="spellEnd"/>
          </w:p>
        </w:tc>
      </w:tr>
      <w:tr w:rsidR="00DE4007" w14:paraId="0C273131" w14:textId="77777777" w:rsidTr="00831983">
        <w:tc>
          <w:tcPr>
            <w:tcW w:w="2335" w:type="dxa"/>
          </w:tcPr>
          <w:p w14:paraId="7FAAECDC" w14:textId="64B41805" w:rsidR="00FF0178" w:rsidRDefault="0015389E" w:rsidP="002A28C8">
            <w:pPr>
              <w:pStyle w:val="NoSpacing"/>
            </w:pPr>
            <w:r w:rsidRPr="0015389E">
              <w:t xml:space="preserve">a. All UNCT conduct senior leadership dialogues to their personnel and advocate to implement the </w:t>
            </w:r>
            <w:r w:rsidR="00BF5CB0" w:rsidRPr="0015389E">
              <w:t>zero-tolerance</w:t>
            </w:r>
            <w:r w:rsidRPr="0015389E">
              <w:t xml:space="preserve"> policy to SEA and create a </w:t>
            </w:r>
            <w:r>
              <w:t>“</w:t>
            </w:r>
            <w:r w:rsidRPr="0015389E">
              <w:t>speak-up culture</w:t>
            </w:r>
            <w:r>
              <w:t>”</w:t>
            </w:r>
          </w:p>
        </w:tc>
        <w:tc>
          <w:tcPr>
            <w:tcW w:w="2508" w:type="dxa"/>
          </w:tcPr>
          <w:p w14:paraId="5B4D9DB8" w14:textId="2C27AE01" w:rsidR="00FF0178" w:rsidRDefault="0015389E" w:rsidP="002A28C8">
            <w:pPr>
              <w:pStyle w:val="NoSpacing"/>
            </w:pPr>
            <w:r w:rsidRPr="0015389E">
              <w:t>100% of UNCT conduct PSEA sessions or senior leadership host dialogues on UN standards of conduct and regularly meet PSEA Focal Points</w:t>
            </w:r>
          </w:p>
        </w:tc>
        <w:tc>
          <w:tcPr>
            <w:tcW w:w="4872" w:type="dxa"/>
          </w:tcPr>
          <w:p w14:paraId="1B74ECB1" w14:textId="1A2469AD" w:rsidR="00FF0178" w:rsidRDefault="0015389E" w:rsidP="00FF0178">
            <w:pPr>
              <w:pStyle w:val="NoSpacing"/>
            </w:pPr>
            <w:r w:rsidRPr="0024782B">
              <w:t xml:space="preserve">• </w:t>
            </w:r>
            <w:r w:rsidRPr="0015389E">
              <w:t xml:space="preserve">PSEA agenda items on UN standards of </w:t>
            </w:r>
            <w:r w:rsidR="00E4583A" w:rsidRPr="0015389E">
              <w:t>conduct</w:t>
            </w:r>
            <w:r w:rsidRPr="0015389E">
              <w:t xml:space="preserve"> relating to SEA and on mandatory reporting (speak up culture) in all staff meetings/retreats and/or during 16 days of activism (as a form of GBV in work settings/CoC)</w:t>
            </w:r>
          </w:p>
        </w:tc>
        <w:tc>
          <w:tcPr>
            <w:tcW w:w="1170" w:type="dxa"/>
          </w:tcPr>
          <w:p w14:paraId="6FA91398" w14:textId="404719FA" w:rsidR="00FF0178" w:rsidRDefault="00E4583A" w:rsidP="002A28C8">
            <w:pPr>
              <w:pStyle w:val="NoSpacing"/>
            </w:pPr>
            <w:r>
              <w:rPr>
                <w:color w:val="000000"/>
              </w:rPr>
              <w:t>Quarterly</w:t>
            </w:r>
          </w:p>
        </w:tc>
        <w:tc>
          <w:tcPr>
            <w:tcW w:w="1620" w:type="dxa"/>
          </w:tcPr>
          <w:p w14:paraId="4461B17E" w14:textId="3E857864" w:rsidR="00FF0178" w:rsidRDefault="00FF0178" w:rsidP="002A28C8">
            <w:pPr>
              <w:pStyle w:val="NoSpacing"/>
            </w:pPr>
            <w:r>
              <w:t>N/A</w:t>
            </w:r>
          </w:p>
        </w:tc>
        <w:tc>
          <w:tcPr>
            <w:tcW w:w="1975" w:type="dxa"/>
          </w:tcPr>
          <w:p w14:paraId="72E3119A" w14:textId="5AE80922" w:rsidR="00FF0178" w:rsidRDefault="00E4583A" w:rsidP="00E4583A">
            <w:pPr>
              <w:spacing w:after="160" w:line="259" w:lineRule="auto"/>
            </w:pPr>
            <w:r w:rsidRPr="00E4583A">
              <w:t>Each UN agency</w:t>
            </w:r>
          </w:p>
        </w:tc>
      </w:tr>
      <w:tr w:rsidR="00DA7B76" w14:paraId="101CB403" w14:textId="77777777" w:rsidTr="00831983">
        <w:tc>
          <w:tcPr>
            <w:tcW w:w="2335" w:type="dxa"/>
          </w:tcPr>
          <w:p w14:paraId="1F9DF2F4" w14:textId="7893A212" w:rsidR="00DA7B76" w:rsidRPr="00FF0178" w:rsidRDefault="00DA7B76" w:rsidP="00DA7B76">
            <w:pPr>
              <w:pStyle w:val="NoSpacing"/>
            </w:pPr>
            <w:r w:rsidRPr="00BD00AE">
              <w:t>b. UNCT Inter-agency SOPs on referral mechanisms are in place (English and Ukrainian)</w:t>
            </w:r>
            <w:r>
              <w:t xml:space="preserve">, </w:t>
            </w:r>
            <w:r w:rsidRPr="00BD00AE">
              <w:t>disseminated and rolled out, and PSEA focal points trained to train all personnel on how to repo</w:t>
            </w:r>
            <w:r>
              <w:t>r</w:t>
            </w:r>
            <w:r w:rsidRPr="00BD00AE">
              <w:t>t SEA allegations</w:t>
            </w:r>
          </w:p>
        </w:tc>
        <w:tc>
          <w:tcPr>
            <w:tcW w:w="2508" w:type="dxa"/>
          </w:tcPr>
          <w:p w14:paraId="097E3EC1" w14:textId="656F5103" w:rsidR="00DA7B76" w:rsidRPr="00FF0178" w:rsidRDefault="00DA7B76" w:rsidP="00DA7B76">
            <w:pPr>
              <w:pStyle w:val="NoSpacing"/>
            </w:pPr>
            <w:r w:rsidRPr="00DA7B76">
              <w:t>100% of UNCT personnel are aware of the interagency SOPs on SEA referrals and mandatory reporting</w:t>
            </w:r>
          </w:p>
        </w:tc>
        <w:tc>
          <w:tcPr>
            <w:tcW w:w="4872" w:type="dxa"/>
          </w:tcPr>
          <w:p w14:paraId="4B3A29DC" w14:textId="2D23244D" w:rsidR="00DA7B76" w:rsidRDefault="00DA7B76" w:rsidP="00DA7B76">
            <w:pPr>
              <w:pStyle w:val="NoSpacing"/>
            </w:pPr>
            <w:r w:rsidRPr="0024782B">
              <w:t xml:space="preserve">• </w:t>
            </w:r>
            <w:r w:rsidRPr="00DA7B76">
              <w:t xml:space="preserve">UNCT members have a designated PSEA Focal Point (Principal and alternate, Intl and National) who is aware </w:t>
            </w:r>
            <w:r>
              <w:t>of</w:t>
            </w:r>
            <w:r w:rsidRPr="00DA7B76">
              <w:t xml:space="preserve"> the handling of SEA allegations and report</w:t>
            </w:r>
            <w:r>
              <w:t>ing</w:t>
            </w:r>
            <w:r w:rsidRPr="00DA7B76">
              <w:t xml:space="preserve"> to the Country Rep, as per the Inter-agency SOPs</w:t>
            </w:r>
          </w:p>
        </w:tc>
        <w:tc>
          <w:tcPr>
            <w:tcW w:w="1170" w:type="dxa"/>
          </w:tcPr>
          <w:p w14:paraId="1164BC29" w14:textId="28ECAB7E" w:rsidR="00DA7B76" w:rsidRDefault="00DA7B76" w:rsidP="00DA7B76">
            <w:pPr>
              <w:pStyle w:val="NoSpacing"/>
              <w:rPr>
                <w:color w:val="000000"/>
              </w:rPr>
            </w:pPr>
            <w:r w:rsidRPr="00DA7B76">
              <w:rPr>
                <w:color w:val="000000"/>
              </w:rPr>
              <w:t>All year</w:t>
            </w:r>
          </w:p>
        </w:tc>
        <w:tc>
          <w:tcPr>
            <w:tcW w:w="1620" w:type="dxa"/>
          </w:tcPr>
          <w:p w14:paraId="60931F33" w14:textId="1E450027" w:rsidR="00DA7B76" w:rsidRDefault="00DA7B76" w:rsidP="00DA7B76">
            <w:pPr>
              <w:pStyle w:val="NoSpacing"/>
            </w:pPr>
            <w:r>
              <w:t>N/A</w:t>
            </w:r>
          </w:p>
        </w:tc>
        <w:tc>
          <w:tcPr>
            <w:tcW w:w="1975" w:type="dxa"/>
          </w:tcPr>
          <w:p w14:paraId="0720CB1C" w14:textId="4FE02B18" w:rsidR="00DA7B76" w:rsidRDefault="00DA7B76" w:rsidP="00DA7B76">
            <w:pPr>
              <w:pStyle w:val="NoSpacing"/>
            </w:pPr>
            <w:r w:rsidRPr="00E4583A">
              <w:t>Each UN agency</w:t>
            </w:r>
          </w:p>
        </w:tc>
      </w:tr>
    </w:tbl>
    <w:p w14:paraId="42E9DA8B" w14:textId="77777777" w:rsidR="00FF0178" w:rsidRDefault="00FF0178" w:rsidP="00D24FF3">
      <w:pPr>
        <w:pStyle w:val="NoSpacing"/>
      </w:pPr>
    </w:p>
    <w:p w14:paraId="21D190DA" w14:textId="665D81A1" w:rsidR="00EB182C" w:rsidRPr="00D24FF3" w:rsidRDefault="00EB182C" w:rsidP="00EB182C">
      <w:pPr>
        <w:pStyle w:val="NoSpacing"/>
        <w:rPr>
          <w:b/>
          <w:bCs/>
        </w:rPr>
      </w:pPr>
      <w:r w:rsidRPr="00D24FF3">
        <w:rPr>
          <w:b/>
          <w:bCs/>
        </w:rPr>
        <w:t>Output 1.</w:t>
      </w:r>
      <w:r>
        <w:rPr>
          <w:b/>
          <w:bCs/>
        </w:rPr>
        <w:t>3</w:t>
      </w:r>
      <w:r w:rsidRPr="00D24FF3">
        <w:rPr>
          <w:b/>
          <w:bCs/>
        </w:rPr>
        <w:t xml:space="preserve"> </w:t>
      </w:r>
      <w:r w:rsidRPr="00EB182C">
        <w:rPr>
          <w:b/>
          <w:bCs/>
        </w:rPr>
        <w:t>Risk Assessment</w:t>
      </w:r>
      <w:r w:rsidR="00DA7B76">
        <w:rPr>
          <w:b/>
          <w:bCs/>
        </w:rPr>
        <w:t xml:space="preserve"> - </w:t>
      </w:r>
      <w:r w:rsidR="00DA7B76" w:rsidRPr="00DA7B76">
        <w:rPr>
          <w:b/>
          <w:bCs/>
        </w:rPr>
        <w:t>All partnerships agreements contain a PSEA clause and are concluded or renewed after conducting the PSEA capacity assessment.</w:t>
      </w:r>
    </w:p>
    <w:tbl>
      <w:tblPr>
        <w:tblStyle w:val="TableGrid"/>
        <w:tblW w:w="0" w:type="auto"/>
        <w:tblCellMar>
          <w:left w:w="72" w:type="dxa"/>
          <w:right w:w="72" w:type="dxa"/>
        </w:tblCellMar>
        <w:tblLook w:val="04A0" w:firstRow="1" w:lastRow="0" w:firstColumn="1" w:lastColumn="0" w:noHBand="0" w:noVBand="1"/>
      </w:tblPr>
      <w:tblGrid>
        <w:gridCol w:w="2335"/>
        <w:gridCol w:w="2520"/>
        <w:gridCol w:w="4860"/>
        <w:gridCol w:w="1170"/>
        <w:gridCol w:w="1640"/>
        <w:gridCol w:w="1955"/>
      </w:tblGrid>
      <w:tr w:rsidR="00831983" w14:paraId="21A0CCFB" w14:textId="77777777" w:rsidTr="00831983">
        <w:trPr>
          <w:tblHeader/>
        </w:trPr>
        <w:tc>
          <w:tcPr>
            <w:tcW w:w="2335" w:type="dxa"/>
            <w:shd w:val="clear" w:color="auto" w:fill="4472C4" w:themeFill="accent1"/>
          </w:tcPr>
          <w:p w14:paraId="7FAEB5A3" w14:textId="77777777" w:rsidR="00DE4007" w:rsidRPr="00D24FF3" w:rsidRDefault="00DE4007" w:rsidP="00DE4007">
            <w:pPr>
              <w:pStyle w:val="NoSpacing"/>
              <w:rPr>
                <w:color w:val="FFFFFF" w:themeColor="background1"/>
              </w:rPr>
            </w:pPr>
            <w:r>
              <w:rPr>
                <w:color w:val="FFFFFF" w:themeColor="background1"/>
              </w:rPr>
              <w:t>Indicator</w:t>
            </w:r>
          </w:p>
        </w:tc>
        <w:tc>
          <w:tcPr>
            <w:tcW w:w="2520" w:type="dxa"/>
            <w:shd w:val="clear" w:color="auto" w:fill="4472C4" w:themeFill="accent1"/>
          </w:tcPr>
          <w:p w14:paraId="6C7B2220" w14:textId="77777777" w:rsidR="00DE4007" w:rsidRPr="00D24FF3" w:rsidRDefault="00DE4007" w:rsidP="00DE4007">
            <w:pPr>
              <w:pStyle w:val="NoSpacing"/>
              <w:rPr>
                <w:color w:val="FFFFFF" w:themeColor="background1"/>
              </w:rPr>
            </w:pPr>
            <w:r>
              <w:rPr>
                <w:color w:val="FFFFFF" w:themeColor="background1"/>
              </w:rPr>
              <w:t>Target/Benchmark</w:t>
            </w:r>
          </w:p>
        </w:tc>
        <w:tc>
          <w:tcPr>
            <w:tcW w:w="4860" w:type="dxa"/>
            <w:shd w:val="clear" w:color="auto" w:fill="4472C4" w:themeFill="accent1"/>
          </w:tcPr>
          <w:p w14:paraId="4AD925D4" w14:textId="77777777" w:rsidR="00DE4007" w:rsidRPr="00D24FF3" w:rsidRDefault="00DE4007" w:rsidP="00DE4007">
            <w:pPr>
              <w:pStyle w:val="NoSpacing"/>
              <w:rPr>
                <w:color w:val="FFFFFF" w:themeColor="background1"/>
              </w:rPr>
            </w:pPr>
            <w:r>
              <w:rPr>
                <w:color w:val="FFFFFF" w:themeColor="background1"/>
              </w:rPr>
              <w:t>Key Action</w:t>
            </w:r>
          </w:p>
        </w:tc>
        <w:tc>
          <w:tcPr>
            <w:tcW w:w="1170" w:type="dxa"/>
            <w:shd w:val="clear" w:color="auto" w:fill="4472C4" w:themeFill="accent1"/>
          </w:tcPr>
          <w:p w14:paraId="078D07C4" w14:textId="57817565" w:rsidR="00DE4007" w:rsidRPr="00D24FF3" w:rsidRDefault="00DE4007" w:rsidP="00DE4007">
            <w:pPr>
              <w:pStyle w:val="NoSpacing"/>
              <w:rPr>
                <w:color w:val="FFFFFF" w:themeColor="background1"/>
              </w:rPr>
            </w:pPr>
            <w:r>
              <w:rPr>
                <w:color w:val="FFFFFF" w:themeColor="background1"/>
              </w:rPr>
              <w:t>Timeframe</w:t>
            </w:r>
          </w:p>
        </w:tc>
        <w:tc>
          <w:tcPr>
            <w:tcW w:w="1640" w:type="dxa"/>
            <w:shd w:val="clear" w:color="auto" w:fill="4472C4" w:themeFill="accent1"/>
          </w:tcPr>
          <w:p w14:paraId="486FA433" w14:textId="4DF6C462" w:rsidR="00DE4007" w:rsidRPr="00D24FF3" w:rsidRDefault="00DE4007" w:rsidP="00DE4007">
            <w:pPr>
              <w:pStyle w:val="NoSpacing"/>
              <w:rPr>
                <w:color w:val="FFFFFF" w:themeColor="background1"/>
              </w:rPr>
            </w:pPr>
            <w:r>
              <w:rPr>
                <w:color w:val="FFFFFF" w:themeColor="background1"/>
              </w:rPr>
              <w:t>Budget/Funding</w:t>
            </w:r>
          </w:p>
        </w:tc>
        <w:tc>
          <w:tcPr>
            <w:tcW w:w="1955" w:type="dxa"/>
            <w:shd w:val="clear" w:color="auto" w:fill="4472C4" w:themeFill="accent1"/>
          </w:tcPr>
          <w:p w14:paraId="7DFB02A1" w14:textId="2DF0B251" w:rsidR="00DE4007" w:rsidRPr="00D24FF3" w:rsidRDefault="00DE4007" w:rsidP="00DE4007">
            <w:pPr>
              <w:pStyle w:val="NoSpacing"/>
              <w:rPr>
                <w:color w:val="FFFFFF" w:themeColor="background1"/>
              </w:rPr>
            </w:pPr>
            <w:r>
              <w:rPr>
                <w:color w:val="FFFFFF" w:themeColor="background1"/>
              </w:rPr>
              <w:t>Lead Agency/</w:t>
            </w:r>
            <w:proofErr w:type="spellStart"/>
            <w:r>
              <w:rPr>
                <w:color w:val="FFFFFF" w:themeColor="background1"/>
              </w:rPr>
              <w:t>ies</w:t>
            </w:r>
            <w:proofErr w:type="spellEnd"/>
          </w:p>
        </w:tc>
      </w:tr>
      <w:tr w:rsidR="00EB182C" w14:paraId="294ADDE2" w14:textId="77777777" w:rsidTr="00831983">
        <w:tc>
          <w:tcPr>
            <w:tcW w:w="2335" w:type="dxa"/>
          </w:tcPr>
          <w:p w14:paraId="30E481A4" w14:textId="6FAC7258" w:rsidR="00EB182C" w:rsidRDefault="006A5FEF" w:rsidP="002A28C8">
            <w:pPr>
              <w:pStyle w:val="NoSpacing"/>
            </w:pPr>
            <w:r w:rsidRPr="006A5FEF">
              <w:t>a. All UN agencies have trained its partners (NGOs, CSO) operating under a partnership agreement on PSEA and/or guided to complete the capacity assessment.</w:t>
            </w:r>
          </w:p>
        </w:tc>
        <w:tc>
          <w:tcPr>
            <w:tcW w:w="2520" w:type="dxa"/>
          </w:tcPr>
          <w:p w14:paraId="494E3CDB" w14:textId="1BE4D58F" w:rsidR="00EB182C" w:rsidRDefault="004311F0" w:rsidP="002A28C8">
            <w:pPr>
              <w:pStyle w:val="NoSpacing"/>
            </w:pPr>
            <w:r w:rsidRPr="004311F0">
              <w:t xml:space="preserve">100% </w:t>
            </w:r>
            <w:r w:rsidR="006623DC" w:rsidRPr="004311F0">
              <w:t>of UN</w:t>
            </w:r>
            <w:r w:rsidRPr="004311F0">
              <w:t xml:space="preserve"> agencies have PSEA Focal points trained with ToTs that are supporting UN partners with trainings and/or capacity assessments</w:t>
            </w:r>
          </w:p>
        </w:tc>
        <w:tc>
          <w:tcPr>
            <w:tcW w:w="4860" w:type="dxa"/>
          </w:tcPr>
          <w:p w14:paraId="564A1BAD" w14:textId="3C83AD1C" w:rsidR="00EB182C" w:rsidRDefault="004311F0" w:rsidP="00EB182C">
            <w:pPr>
              <w:pStyle w:val="NoSpacing"/>
            </w:pPr>
            <w:r w:rsidRPr="004311F0">
              <w:t>• PSEA trainings/ToTs and/or PSEA FPs are trained on PSEA Minimum Standards</w:t>
            </w:r>
          </w:p>
        </w:tc>
        <w:tc>
          <w:tcPr>
            <w:tcW w:w="1170" w:type="dxa"/>
          </w:tcPr>
          <w:p w14:paraId="741492FD" w14:textId="1C3DDE35" w:rsidR="00EB182C" w:rsidRDefault="004311F0" w:rsidP="002A28C8">
            <w:pPr>
              <w:pStyle w:val="NoSpacing"/>
            </w:pPr>
            <w:r>
              <w:t>All year</w:t>
            </w:r>
          </w:p>
        </w:tc>
        <w:tc>
          <w:tcPr>
            <w:tcW w:w="1640" w:type="dxa"/>
          </w:tcPr>
          <w:p w14:paraId="5457D744" w14:textId="709709DA" w:rsidR="00EB182C" w:rsidRPr="00DF15AD" w:rsidRDefault="004311F0" w:rsidP="002A28C8">
            <w:pPr>
              <w:pStyle w:val="NoSpacing"/>
              <w:rPr>
                <w:sz w:val="21"/>
                <w:szCs w:val="21"/>
              </w:rPr>
            </w:pPr>
            <w:r w:rsidRPr="00DF15AD">
              <w:rPr>
                <w:sz w:val="21"/>
                <w:szCs w:val="21"/>
              </w:rPr>
              <w:t>Each agency has an identified budget line and/or allocated funds for own organizations and for capacity building for funded partners, if needed</w:t>
            </w:r>
          </w:p>
        </w:tc>
        <w:tc>
          <w:tcPr>
            <w:tcW w:w="1955" w:type="dxa"/>
          </w:tcPr>
          <w:p w14:paraId="4D4B9003" w14:textId="77777777" w:rsidR="004311F0" w:rsidRDefault="004311F0" w:rsidP="004311F0">
            <w:pPr>
              <w:pStyle w:val="NoSpacing"/>
            </w:pPr>
            <w:r>
              <w:t xml:space="preserve">Each UN Agency- </w:t>
            </w:r>
          </w:p>
          <w:p w14:paraId="66E0A159" w14:textId="77777777" w:rsidR="004311F0" w:rsidRDefault="004311F0" w:rsidP="004311F0">
            <w:pPr>
              <w:pStyle w:val="NoSpacing"/>
            </w:pPr>
            <w:r>
              <w:t>Jointly through PSEA</w:t>
            </w:r>
          </w:p>
          <w:p w14:paraId="58E0207A" w14:textId="529AC080" w:rsidR="00EB182C" w:rsidRDefault="004311F0" w:rsidP="004311F0">
            <w:pPr>
              <w:pStyle w:val="NoSpacing"/>
            </w:pPr>
            <w:r>
              <w:t>Network for technical support</w:t>
            </w:r>
          </w:p>
        </w:tc>
      </w:tr>
      <w:tr w:rsidR="00EB182C" w14:paraId="74E1D199" w14:textId="77777777" w:rsidTr="00831983">
        <w:tc>
          <w:tcPr>
            <w:tcW w:w="2335" w:type="dxa"/>
          </w:tcPr>
          <w:p w14:paraId="196A6A98" w14:textId="6038B381" w:rsidR="00EB182C" w:rsidRPr="00EB182C" w:rsidRDefault="006A5FEF" w:rsidP="00EB182C">
            <w:pPr>
              <w:pStyle w:val="NoSpacing"/>
            </w:pPr>
            <w:r w:rsidRPr="006A5FEF">
              <w:t>b. UN agencies operating under the UNPP portal are uploading relevant data requested for “IP capacity assessments”</w:t>
            </w:r>
          </w:p>
        </w:tc>
        <w:tc>
          <w:tcPr>
            <w:tcW w:w="2520" w:type="dxa"/>
          </w:tcPr>
          <w:p w14:paraId="22880E88" w14:textId="184B9516" w:rsidR="00EB182C" w:rsidRPr="00EB182C" w:rsidRDefault="6D6BC5A7" w:rsidP="00EB182C">
            <w:pPr>
              <w:pStyle w:val="NoSpacing"/>
            </w:pPr>
            <w:r>
              <w:t>100</w:t>
            </w:r>
            <w:r w:rsidR="00DD20E3">
              <w:t xml:space="preserve">% of </w:t>
            </w:r>
            <w:r w:rsidR="7BFF1FEA">
              <w:t>UN Partners’</w:t>
            </w:r>
            <w:r w:rsidR="00DD20E3">
              <w:t xml:space="preserve"> capacity assessments </w:t>
            </w:r>
            <w:r w:rsidR="7D208C7E">
              <w:t xml:space="preserve">conducted </w:t>
            </w:r>
            <w:r>
              <w:t>are</w:t>
            </w:r>
            <w:r w:rsidR="00DD20E3">
              <w:t xml:space="preserve"> synchronized with the UNPP</w:t>
            </w:r>
            <w:r w:rsidR="1C69E17F">
              <w:t xml:space="preserve"> and status of capacity assessments are </w:t>
            </w:r>
            <w:r w:rsidR="1C69E17F">
              <w:lastRenderedPageBreak/>
              <w:t>shared bi-annually with the PSEA Network</w:t>
            </w:r>
          </w:p>
        </w:tc>
        <w:tc>
          <w:tcPr>
            <w:tcW w:w="4860" w:type="dxa"/>
          </w:tcPr>
          <w:p w14:paraId="58A22B8E" w14:textId="3C272AA6" w:rsidR="00EB182C" w:rsidRDefault="00403F8D" w:rsidP="00EB182C">
            <w:pPr>
              <w:pStyle w:val="NoSpacing"/>
            </w:pPr>
            <w:r w:rsidRPr="00403F8D">
              <w:lastRenderedPageBreak/>
              <w:t>• Mapping of PSEA capacity assessments and trainings (English, Ukrainian) and awareness sessions by region, partner, target population</w:t>
            </w:r>
          </w:p>
        </w:tc>
        <w:tc>
          <w:tcPr>
            <w:tcW w:w="1170" w:type="dxa"/>
          </w:tcPr>
          <w:p w14:paraId="606DD09C" w14:textId="3293EF67" w:rsidR="00EB182C" w:rsidRPr="00EB182C" w:rsidRDefault="00403F8D" w:rsidP="002A28C8">
            <w:pPr>
              <w:pStyle w:val="NoSpacing"/>
              <w:rPr>
                <w:color w:val="000000"/>
              </w:rPr>
            </w:pPr>
            <w:r>
              <w:t>All year</w:t>
            </w:r>
          </w:p>
        </w:tc>
        <w:tc>
          <w:tcPr>
            <w:tcW w:w="1640" w:type="dxa"/>
          </w:tcPr>
          <w:p w14:paraId="6FE8CB55" w14:textId="457F798E" w:rsidR="00EB182C" w:rsidRPr="00EB182C" w:rsidRDefault="009F5ECF" w:rsidP="002A28C8">
            <w:pPr>
              <w:pStyle w:val="NoSpacing"/>
            </w:pPr>
            <w:r w:rsidRPr="004311F0">
              <w:t>Each agency</w:t>
            </w:r>
          </w:p>
        </w:tc>
        <w:tc>
          <w:tcPr>
            <w:tcW w:w="1955" w:type="dxa"/>
          </w:tcPr>
          <w:p w14:paraId="6E044AE0" w14:textId="77777777" w:rsidR="009F5ECF" w:rsidRDefault="009F5ECF" w:rsidP="009F5ECF">
            <w:pPr>
              <w:pStyle w:val="NoSpacing"/>
            </w:pPr>
            <w:r>
              <w:t xml:space="preserve">Each UN Agency- </w:t>
            </w:r>
          </w:p>
          <w:p w14:paraId="35B96DBC" w14:textId="77777777" w:rsidR="009F5ECF" w:rsidRDefault="009F5ECF" w:rsidP="009F5ECF">
            <w:pPr>
              <w:pStyle w:val="NoSpacing"/>
            </w:pPr>
            <w:r>
              <w:t>Jointly through PSEA</w:t>
            </w:r>
          </w:p>
          <w:p w14:paraId="50CD73D7" w14:textId="25B3909A" w:rsidR="00EB182C" w:rsidRDefault="009F5ECF" w:rsidP="009F5ECF">
            <w:pPr>
              <w:pStyle w:val="NoSpacing"/>
            </w:pPr>
            <w:r>
              <w:t>Network for technical support</w:t>
            </w:r>
          </w:p>
        </w:tc>
      </w:tr>
      <w:tr w:rsidR="00F7128E" w14:paraId="47550EC2" w14:textId="77777777" w:rsidTr="00831983">
        <w:tc>
          <w:tcPr>
            <w:tcW w:w="2335" w:type="dxa"/>
          </w:tcPr>
          <w:p w14:paraId="75A48F10" w14:textId="6305C2F2" w:rsidR="00F7128E" w:rsidRDefault="00F7128E" w:rsidP="00F7128E">
            <w:pPr>
              <w:pStyle w:val="NoSpacing"/>
            </w:pPr>
            <w:r w:rsidRPr="006A5FEF">
              <w:t>c. All UN agencies have PSEA visual awareness raising material in their offices and partners’ offices</w:t>
            </w:r>
          </w:p>
        </w:tc>
        <w:tc>
          <w:tcPr>
            <w:tcW w:w="2520" w:type="dxa"/>
          </w:tcPr>
          <w:p w14:paraId="45113E0A" w14:textId="2A183129" w:rsidR="00F7128E" w:rsidRDefault="00F7128E" w:rsidP="00F7128E">
            <w:pPr>
              <w:pStyle w:val="NoSpacing"/>
            </w:pPr>
            <w:r w:rsidRPr="00403F8D">
              <w:t>100% of facilities of partners/UN offices and sub-offices have visible PSEA awareness raising material and identified complaints mechanisms (i.e. boxes, hotlines)</w:t>
            </w:r>
          </w:p>
        </w:tc>
        <w:tc>
          <w:tcPr>
            <w:tcW w:w="4860" w:type="dxa"/>
          </w:tcPr>
          <w:p w14:paraId="4185EEC2" w14:textId="7D22C8BC" w:rsidR="00F7128E" w:rsidRDefault="00F7128E" w:rsidP="00F7128E">
            <w:pPr>
              <w:pStyle w:val="NoSpacing"/>
            </w:pPr>
            <w:r>
              <w:rPr>
                <w:rFonts w:ascii="Calibri" w:hAnsi="Calibri" w:cs="Calibri"/>
                <w:color w:val="212529"/>
              </w:rPr>
              <w:t xml:space="preserve">• </w:t>
            </w:r>
            <w:r>
              <w:rPr>
                <w:rFonts w:ascii="Calibri" w:hAnsi="Calibri" w:cs="Calibri"/>
                <w:color w:val="000000"/>
              </w:rPr>
              <w:t xml:space="preserve">PSEA awareness-raising materials (broadcast, pamphlet, posters, etc.), i.e. “no-excuse cards” are locally contextualized, produced and distributed, </w:t>
            </w:r>
            <w:r>
              <w:rPr>
                <w:color w:val="000000"/>
              </w:rPr>
              <w:t xml:space="preserve">with the contact details for reporting allegations, in Ukrainian and English; in all UN locations (example: </w:t>
            </w:r>
            <w:hyperlink r:id="rId7" w:history="1">
              <w:r>
                <w:rPr>
                  <w:rStyle w:val="Hyperlink"/>
                  <w:color w:val="0563C1"/>
                </w:rPr>
                <w:t>https://trello.com/c/yViVZhyL/20-no-excuse-cards</w:t>
              </w:r>
            </w:hyperlink>
            <w:r>
              <w:t>)</w:t>
            </w:r>
          </w:p>
        </w:tc>
        <w:tc>
          <w:tcPr>
            <w:tcW w:w="1170" w:type="dxa"/>
          </w:tcPr>
          <w:p w14:paraId="4A255C3F" w14:textId="23A0324C" w:rsidR="00F7128E" w:rsidRPr="00EB182C" w:rsidRDefault="00F7128E" w:rsidP="00F7128E">
            <w:pPr>
              <w:pStyle w:val="NoSpacing"/>
              <w:rPr>
                <w:color w:val="000000"/>
              </w:rPr>
            </w:pPr>
            <w:r>
              <w:t>All year</w:t>
            </w:r>
          </w:p>
        </w:tc>
        <w:tc>
          <w:tcPr>
            <w:tcW w:w="1640" w:type="dxa"/>
          </w:tcPr>
          <w:p w14:paraId="1650B993" w14:textId="4667209D" w:rsidR="00F7128E" w:rsidRPr="00EB182C" w:rsidRDefault="009F5ECF" w:rsidP="00F7128E">
            <w:pPr>
              <w:pStyle w:val="NoSpacing"/>
            </w:pPr>
            <w:r w:rsidRPr="004311F0">
              <w:t>Each agency</w:t>
            </w:r>
          </w:p>
        </w:tc>
        <w:tc>
          <w:tcPr>
            <w:tcW w:w="1955" w:type="dxa"/>
          </w:tcPr>
          <w:p w14:paraId="74BF2C79" w14:textId="77777777" w:rsidR="009F5ECF" w:rsidRDefault="009F5ECF" w:rsidP="009F5ECF">
            <w:pPr>
              <w:pStyle w:val="NoSpacing"/>
            </w:pPr>
            <w:r>
              <w:t xml:space="preserve">Each UN Agency- </w:t>
            </w:r>
          </w:p>
          <w:p w14:paraId="651A1790" w14:textId="77777777" w:rsidR="009F5ECF" w:rsidRDefault="009F5ECF" w:rsidP="009F5ECF">
            <w:pPr>
              <w:pStyle w:val="NoSpacing"/>
            </w:pPr>
            <w:r>
              <w:t>Jointly through PSEA</w:t>
            </w:r>
          </w:p>
          <w:p w14:paraId="31EC0A54" w14:textId="3506E806" w:rsidR="00F7128E" w:rsidRDefault="009F5ECF" w:rsidP="009F5ECF">
            <w:pPr>
              <w:pStyle w:val="NoSpacing"/>
            </w:pPr>
            <w:r>
              <w:t>Network for technical support</w:t>
            </w:r>
          </w:p>
        </w:tc>
      </w:tr>
      <w:tr w:rsidR="009F5ECF" w14:paraId="210C3AEA" w14:textId="77777777" w:rsidTr="00831983">
        <w:tc>
          <w:tcPr>
            <w:tcW w:w="2335" w:type="dxa"/>
          </w:tcPr>
          <w:p w14:paraId="17DAE09C" w14:textId="49171405" w:rsidR="009F5ECF" w:rsidRPr="006A5FEF" w:rsidRDefault="009F5ECF" w:rsidP="009F5ECF">
            <w:pPr>
              <w:pStyle w:val="NoSpacing"/>
            </w:pPr>
            <w:r w:rsidRPr="00BC1520">
              <w:t>d. UN partnership agreements have a PSEA clause in partnership or contractors agreements (i.e. referring to the results of  “IP capacity assessments” to renew partnerships and/or as a reason to early contractual termination if the handling of SEA cases or minimum operational standards are not in place )</w:t>
            </w:r>
          </w:p>
        </w:tc>
        <w:tc>
          <w:tcPr>
            <w:tcW w:w="2520" w:type="dxa"/>
          </w:tcPr>
          <w:p w14:paraId="42E78395" w14:textId="4EB09D3E" w:rsidR="009F5ECF" w:rsidRDefault="004671D7" w:rsidP="009F5ECF">
            <w:pPr>
              <w:pStyle w:val="NoSpacing"/>
            </w:pPr>
            <w:r>
              <w:rPr>
                <w:rFonts w:ascii="Calibri" w:hAnsi="Calibri" w:cs="Calibri"/>
                <w:color w:val="000000"/>
              </w:rPr>
              <w:t>100% of UN partnerships agreements have been signed or renewed after capacity assessments or with legal safeguards (IP clause)</w:t>
            </w:r>
          </w:p>
        </w:tc>
        <w:tc>
          <w:tcPr>
            <w:tcW w:w="4860" w:type="dxa"/>
          </w:tcPr>
          <w:p w14:paraId="46AFCCD6" w14:textId="4323EE3B" w:rsidR="009F5ECF" w:rsidRDefault="004671D7" w:rsidP="009F5ECF">
            <w:pPr>
              <w:pStyle w:val="NoSpacing"/>
            </w:pPr>
            <w:r>
              <w:rPr>
                <w:rFonts w:ascii="Calibri" w:hAnsi="Calibri" w:cs="Calibri"/>
                <w:color w:val="212529"/>
              </w:rPr>
              <w:t xml:space="preserve">• </w:t>
            </w:r>
            <w:r>
              <w:rPr>
                <w:rFonts w:ascii="Calibri" w:hAnsi="Calibri" w:cs="Calibri"/>
                <w:color w:val="000000"/>
              </w:rPr>
              <w:t>All UN entities have signed contracts with partners with high or medium capacity, and follow up within 6 months to ensure full PSEA capacity</w:t>
            </w:r>
          </w:p>
        </w:tc>
        <w:tc>
          <w:tcPr>
            <w:tcW w:w="1170" w:type="dxa"/>
          </w:tcPr>
          <w:p w14:paraId="6152022F" w14:textId="58F2E959" w:rsidR="009F5ECF" w:rsidRPr="00EB182C" w:rsidRDefault="009F5ECF" w:rsidP="009F5ECF">
            <w:pPr>
              <w:pStyle w:val="NoSpacing"/>
              <w:rPr>
                <w:color w:val="000000"/>
              </w:rPr>
            </w:pPr>
            <w:r>
              <w:t>All year</w:t>
            </w:r>
          </w:p>
        </w:tc>
        <w:tc>
          <w:tcPr>
            <w:tcW w:w="1640" w:type="dxa"/>
          </w:tcPr>
          <w:p w14:paraId="222ABA1D" w14:textId="7D5B13AE" w:rsidR="009F5ECF" w:rsidRPr="00EB182C" w:rsidRDefault="009F5ECF" w:rsidP="009F5ECF">
            <w:pPr>
              <w:pStyle w:val="NoSpacing"/>
            </w:pPr>
            <w:r w:rsidRPr="004311F0">
              <w:t>Each agency</w:t>
            </w:r>
          </w:p>
        </w:tc>
        <w:tc>
          <w:tcPr>
            <w:tcW w:w="1955" w:type="dxa"/>
          </w:tcPr>
          <w:p w14:paraId="64FFF98E" w14:textId="77777777" w:rsidR="009F5ECF" w:rsidRDefault="009F5ECF" w:rsidP="009F5ECF">
            <w:pPr>
              <w:pStyle w:val="NoSpacing"/>
            </w:pPr>
            <w:r>
              <w:t xml:space="preserve">Each UN Agency- </w:t>
            </w:r>
          </w:p>
          <w:p w14:paraId="4B15B273" w14:textId="77777777" w:rsidR="009F5ECF" w:rsidRDefault="009F5ECF" w:rsidP="009F5ECF">
            <w:pPr>
              <w:pStyle w:val="NoSpacing"/>
            </w:pPr>
            <w:r>
              <w:t>Jointly through PSEA</w:t>
            </w:r>
          </w:p>
          <w:p w14:paraId="5C32B9BC" w14:textId="1A6BB4E7" w:rsidR="009F5ECF" w:rsidRDefault="009F5ECF" w:rsidP="009F5ECF">
            <w:pPr>
              <w:pStyle w:val="NoSpacing"/>
            </w:pPr>
            <w:r>
              <w:t>Network for technical support</w:t>
            </w:r>
          </w:p>
        </w:tc>
      </w:tr>
    </w:tbl>
    <w:p w14:paraId="0A19FB7D" w14:textId="1F6D1340" w:rsidR="00BF5CB0" w:rsidRDefault="00BF5CB0">
      <w:r>
        <w:br w:type="page"/>
      </w:r>
    </w:p>
    <w:p w14:paraId="67D5022D" w14:textId="324AB302" w:rsidR="003A2BC5" w:rsidRPr="0015389E" w:rsidRDefault="003A2BC5" w:rsidP="003A2BC5">
      <w:pPr>
        <w:pStyle w:val="NoSpacing"/>
        <w:rPr>
          <w:b/>
          <w:bCs/>
          <w:color w:val="002060"/>
          <w:sz w:val="28"/>
          <w:szCs w:val="28"/>
        </w:rPr>
      </w:pPr>
      <w:r w:rsidRPr="0015389E">
        <w:rPr>
          <w:b/>
          <w:bCs/>
          <w:color w:val="002060"/>
          <w:sz w:val="28"/>
          <w:szCs w:val="28"/>
        </w:rPr>
        <w:lastRenderedPageBreak/>
        <w:t xml:space="preserve">Outcome Area </w:t>
      </w:r>
      <w:r>
        <w:rPr>
          <w:b/>
          <w:bCs/>
          <w:color w:val="002060"/>
          <w:sz w:val="28"/>
          <w:szCs w:val="28"/>
        </w:rPr>
        <w:t>2</w:t>
      </w:r>
      <w:r w:rsidRPr="0015389E">
        <w:rPr>
          <w:b/>
          <w:bCs/>
          <w:color w:val="002060"/>
          <w:sz w:val="28"/>
          <w:szCs w:val="28"/>
        </w:rPr>
        <w:t xml:space="preserve"> – </w:t>
      </w:r>
      <w:r>
        <w:rPr>
          <w:b/>
          <w:bCs/>
          <w:color w:val="002060"/>
          <w:sz w:val="28"/>
          <w:szCs w:val="28"/>
        </w:rPr>
        <w:t>Safe and accessible reporting</w:t>
      </w:r>
    </w:p>
    <w:p w14:paraId="26977E1D" w14:textId="77777777" w:rsidR="003A2BC5" w:rsidRDefault="003A2BC5" w:rsidP="001A3153">
      <w:pPr>
        <w:spacing w:after="0"/>
        <w:rPr>
          <w:b/>
          <w:bCs/>
          <w:color w:val="002060"/>
        </w:rPr>
      </w:pPr>
      <w:r w:rsidRPr="001A3153">
        <w:rPr>
          <w:b/>
          <w:bCs/>
          <w:color w:val="002060"/>
        </w:rPr>
        <w:t>Outcome statement 2. Every child and adult recipient of United Nations assistance has access to safe, gender and child-sensitive pathways to report sexual exploitation and abuse (including through community-based complaints mechanisms)2 that provides access to assistance, are appropriate to the context and accessible to those in the most vulnerable situations.</w:t>
      </w:r>
    </w:p>
    <w:p w14:paraId="3CDB06BB" w14:textId="77777777" w:rsidR="001A3153" w:rsidRPr="00E41922" w:rsidRDefault="001A3153" w:rsidP="001A3153">
      <w:pPr>
        <w:pStyle w:val="NoSpacing"/>
        <w:rPr>
          <w:b/>
          <w:bCs/>
          <w:color w:val="002060"/>
          <w:sz w:val="16"/>
          <w:szCs w:val="16"/>
        </w:rPr>
      </w:pPr>
    </w:p>
    <w:p w14:paraId="242BB325" w14:textId="439A2943" w:rsidR="003A2BC5" w:rsidRPr="00D24FF3" w:rsidRDefault="003A2BC5" w:rsidP="003A2BC5">
      <w:pPr>
        <w:pStyle w:val="NoSpacing"/>
        <w:rPr>
          <w:b/>
          <w:bCs/>
        </w:rPr>
      </w:pPr>
      <w:r w:rsidRPr="00D24FF3">
        <w:rPr>
          <w:b/>
          <w:bCs/>
        </w:rPr>
        <w:t xml:space="preserve">Output </w:t>
      </w:r>
      <w:r w:rsidRPr="003A2BC5">
        <w:rPr>
          <w:b/>
          <w:bCs/>
        </w:rPr>
        <w:t xml:space="preserve">2.1 Affected populations have access to multiple, </w:t>
      </w:r>
      <w:r w:rsidR="00BE5E65" w:rsidRPr="003A2BC5">
        <w:rPr>
          <w:b/>
          <w:bCs/>
        </w:rPr>
        <w:t>confidential,</w:t>
      </w:r>
      <w:r w:rsidRPr="003A2BC5">
        <w:rPr>
          <w:b/>
          <w:bCs/>
        </w:rPr>
        <w:t xml:space="preserve"> and accessible reporting channels.</w:t>
      </w:r>
    </w:p>
    <w:tbl>
      <w:tblPr>
        <w:tblStyle w:val="TableGrid"/>
        <w:tblW w:w="0" w:type="auto"/>
        <w:tblCellMar>
          <w:left w:w="72" w:type="dxa"/>
          <w:right w:w="72" w:type="dxa"/>
        </w:tblCellMar>
        <w:tblLook w:val="04A0" w:firstRow="1" w:lastRow="0" w:firstColumn="1" w:lastColumn="0" w:noHBand="0" w:noVBand="1"/>
      </w:tblPr>
      <w:tblGrid>
        <w:gridCol w:w="2425"/>
        <w:gridCol w:w="2306"/>
        <w:gridCol w:w="5099"/>
        <w:gridCol w:w="1115"/>
        <w:gridCol w:w="1617"/>
        <w:gridCol w:w="1918"/>
      </w:tblGrid>
      <w:tr w:rsidR="00545080" w:rsidRPr="00D24FF3" w14:paraId="0D38F424" w14:textId="77777777" w:rsidTr="00545080">
        <w:trPr>
          <w:tblHeader/>
        </w:trPr>
        <w:tc>
          <w:tcPr>
            <w:tcW w:w="2425" w:type="dxa"/>
            <w:shd w:val="clear" w:color="auto" w:fill="4472C4" w:themeFill="accent1"/>
          </w:tcPr>
          <w:p w14:paraId="1AA6BE44" w14:textId="77777777" w:rsidR="00921BA6" w:rsidRPr="00D24FF3" w:rsidRDefault="00921BA6" w:rsidP="00811E2A">
            <w:pPr>
              <w:pStyle w:val="NoSpacing"/>
              <w:rPr>
                <w:color w:val="FFFFFF" w:themeColor="background1"/>
              </w:rPr>
            </w:pPr>
            <w:r>
              <w:rPr>
                <w:color w:val="FFFFFF" w:themeColor="background1"/>
              </w:rPr>
              <w:t>Indicator</w:t>
            </w:r>
          </w:p>
        </w:tc>
        <w:tc>
          <w:tcPr>
            <w:tcW w:w="2306" w:type="dxa"/>
            <w:shd w:val="clear" w:color="auto" w:fill="4472C4" w:themeFill="accent1"/>
          </w:tcPr>
          <w:p w14:paraId="09DE08FA" w14:textId="77777777" w:rsidR="00921BA6" w:rsidRPr="00D24FF3" w:rsidRDefault="00921BA6" w:rsidP="00811E2A">
            <w:pPr>
              <w:pStyle w:val="NoSpacing"/>
              <w:rPr>
                <w:color w:val="FFFFFF" w:themeColor="background1"/>
              </w:rPr>
            </w:pPr>
            <w:r>
              <w:rPr>
                <w:color w:val="FFFFFF" w:themeColor="background1"/>
              </w:rPr>
              <w:t>Target/Benchmark</w:t>
            </w:r>
          </w:p>
        </w:tc>
        <w:tc>
          <w:tcPr>
            <w:tcW w:w="5099" w:type="dxa"/>
            <w:shd w:val="clear" w:color="auto" w:fill="4472C4" w:themeFill="accent1"/>
          </w:tcPr>
          <w:p w14:paraId="260B233B" w14:textId="77777777" w:rsidR="00921BA6" w:rsidRPr="00D24FF3" w:rsidRDefault="00921BA6" w:rsidP="00811E2A">
            <w:pPr>
              <w:pStyle w:val="NoSpacing"/>
              <w:rPr>
                <w:color w:val="FFFFFF" w:themeColor="background1"/>
              </w:rPr>
            </w:pPr>
            <w:r>
              <w:rPr>
                <w:color w:val="FFFFFF" w:themeColor="background1"/>
              </w:rPr>
              <w:t>Key Action</w:t>
            </w:r>
          </w:p>
        </w:tc>
        <w:tc>
          <w:tcPr>
            <w:tcW w:w="1115" w:type="dxa"/>
            <w:shd w:val="clear" w:color="auto" w:fill="4472C4" w:themeFill="accent1"/>
          </w:tcPr>
          <w:p w14:paraId="1453620E" w14:textId="77777777" w:rsidR="00921BA6" w:rsidRPr="00D24FF3" w:rsidRDefault="00921BA6" w:rsidP="00811E2A">
            <w:pPr>
              <w:pStyle w:val="NoSpacing"/>
              <w:rPr>
                <w:color w:val="FFFFFF" w:themeColor="background1"/>
              </w:rPr>
            </w:pPr>
            <w:r>
              <w:rPr>
                <w:color w:val="FFFFFF" w:themeColor="background1"/>
              </w:rPr>
              <w:t>Timeframe</w:t>
            </w:r>
          </w:p>
        </w:tc>
        <w:tc>
          <w:tcPr>
            <w:tcW w:w="1617" w:type="dxa"/>
            <w:shd w:val="clear" w:color="auto" w:fill="4472C4" w:themeFill="accent1"/>
          </w:tcPr>
          <w:p w14:paraId="5DE581D6" w14:textId="77777777" w:rsidR="00921BA6" w:rsidRPr="00D24FF3" w:rsidRDefault="00921BA6" w:rsidP="00811E2A">
            <w:pPr>
              <w:pStyle w:val="NoSpacing"/>
              <w:rPr>
                <w:color w:val="FFFFFF" w:themeColor="background1"/>
              </w:rPr>
            </w:pPr>
            <w:r>
              <w:rPr>
                <w:color w:val="FFFFFF" w:themeColor="background1"/>
              </w:rPr>
              <w:t>Budget/Funding</w:t>
            </w:r>
          </w:p>
        </w:tc>
        <w:tc>
          <w:tcPr>
            <w:tcW w:w="1918" w:type="dxa"/>
            <w:shd w:val="clear" w:color="auto" w:fill="4472C4" w:themeFill="accent1"/>
          </w:tcPr>
          <w:p w14:paraId="48B2C4E9" w14:textId="77777777" w:rsidR="00921BA6" w:rsidRPr="00D24FF3" w:rsidRDefault="00921BA6" w:rsidP="00811E2A">
            <w:pPr>
              <w:pStyle w:val="NoSpacing"/>
              <w:rPr>
                <w:color w:val="FFFFFF" w:themeColor="background1"/>
              </w:rPr>
            </w:pPr>
            <w:r>
              <w:rPr>
                <w:color w:val="FFFFFF" w:themeColor="background1"/>
              </w:rPr>
              <w:t>Lead Agency/</w:t>
            </w:r>
            <w:proofErr w:type="spellStart"/>
            <w:r>
              <w:rPr>
                <w:color w:val="FFFFFF" w:themeColor="background1"/>
              </w:rPr>
              <w:t>ies</w:t>
            </w:r>
            <w:proofErr w:type="spellEnd"/>
          </w:p>
        </w:tc>
      </w:tr>
      <w:tr w:rsidR="00921BA6" w14:paraId="0B040FEF" w14:textId="77777777" w:rsidTr="00545080">
        <w:tc>
          <w:tcPr>
            <w:tcW w:w="2425" w:type="dxa"/>
          </w:tcPr>
          <w:p w14:paraId="5CFAC638" w14:textId="53EFBD65" w:rsidR="00921BA6" w:rsidRDefault="007B6A05" w:rsidP="00811E2A">
            <w:pPr>
              <w:pStyle w:val="NoSpacing"/>
            </w:pPr>
            <w:r w:rsidRPr="007B6A05">
              <w:t>a. Percentage of persons among the affected populations who know where to report cases of SEA</w:t>
            </w:r>
          </w:p>
        </w:tc>
        <w:tc>
          <w:tcPr>
            <w:tcW w:w="2306" w:type="dxa"/>
          </w:tcPr>
          <w:p w14:paraId="1B933494" w14:textId="379680F5" w:rsidR="00921BA6" w:rsidRDefault="0086161D" w:rsidP="00811E2A">
            <w:pPr>
              <w:pStyle w:val="NoSpacing"/>
            </w:pPr>
            <w:r w:rsidRPr="0086161D">
              <w:t>80% of a sample of</w:t>
            </w:r>
            <w:r>
              <w:t xml:space="preserve"> </w:t>
            </w:r>
            <w:r w:rsidRPr="0086161D">
              <w:t>beneficiaries of UN funded projects indicate that they are aware of complaints feedback mechanism (hotline, helpdesk etc.)</w:t>
            </w:r>
          </w:p>
        </w:tc>
        <w:tc>
          <w:tcPr>
            <w:tcW w:w="5099" w:type="dxa"/>
          </w:tcPr>
          <w:p w14:paraId="7954CA42" w14:textId="35B64B71" w:rsidR="00921BA6" w:rsidRDefault="0086161D" w:rsidP="00811E2A">
            <w:pPr>
              <w:pStyle w:val="NoSpacing"/>
            </w:pPr>
            <w:r w:rsidRPr="0086161D">
              <w:t>• Gender and age disaggregated data gathered of persons reached through dissemination or awareness raising activities</w:t>
            </w:r>
          </w:p>
        </w:tc>
        <w:tc>
          <w:tcPr>
            <w:tcW w:w="1115" w:type="dxa"/>
          </w:tcPr>
          <w:p w14:paraId="44E04488" w14:textId="7FD83D52" w:rsidR="00921BA6" w:rsidRDefault="0086161D" w:rsidP="00811E2A">
            <w:pPr>
              <w:pStyle w:val="NoSpacing"/>
            </w:pPr>
            <w:r>
              <w:t>Q1</w:t>
            </w:r>
          </w:p>
        </w:tc>
        <w:tc>
          <w:tcPr>
            <w:tcW w:w="1617" w:type="dxa"/>
          </w:tcPr>
          <w:p w14:paraId="6AB1E74D" w14:textId="30CE40DC" w:rsidR="00921BA6" w:rsidRDefault="0086161D" w:rsidP="00811E2A">
            <w:pPr>
              <w:pStyle w:val="NoSpacing"/>
            </w:pPr>
            <w:r>
              <w:t>N/A</w:t>
            </w:r>
          </w:p>
        </w:tc>
        <w:tc>
          <w:tcPr>
            <w:tcW w:w="1918" w:type="dxa"/>
          </w:tcPr>
          <w:p w14:paraId="46036344" w14:textId="37B903A3" w:rsidR="00921BA6" w:rsidRDefault="0086161D" w:rsidP="00811E2A">
            <w:pPr>
              <w:spacing w:after="160" w:line="259" w:lineRule="auto"/>
            </w:pPr>
            <w:r w:rsidRPr="0086161D">
              <w:t>Each UN agency, the PSEA Network through the GTS community perceptions research study, UNHCR through AAP Coordinator</w:t>
            </w:r>
          </w:p>
        </w:tc>
      </w:tr>
      <w:tr w:rsidR="00921BA6" w14:paraId="40464DEF" w14:textId="77777777" w:rsidTr="00545080">
        <w:tc>
          <w:tcPr>
            <w:tcW w:w="2425" w:type="dxa"/>
          </w:tcPr>
          <w:p w14:paraId="35E3EA57" w14:textId="78EB9EE9" w:rsidR="00921BA6" w:rsidRPr="00FF0178" w:rsidRDefault="007B6A05" w:rsidP="00811E2A">
            <w:pPr>
              <w:pStyle w:val="NoSpacing"/>
            </w:pPr>
            <w:r w:rsidRPr="007B6A05">
              <w:t>b. Percentage of children and adults who have access to a safe and child sensitive mechanism in place to report sexual exploitation and abuse</w:t>
            </w:r>
          </w:p>
        </w:tc>
        <w:tc>
          <w:tcPr>
            <w:tcW w:w="2306" w:type="dxa"/>
          </w:tcPr>
          <w:p w14:paraId="03A1CD06" w14:textId="50ED70F1" w:rsidR="00921BA6" w:rsidRPr="00FF0178" w:rsidRDefault="0086161D" w:rsidP="00E41922">
            <w:pPr>
              <w:pStyle w:val="NoSpacing"/>
            </w:pPr>
            <w:r>
              <w:t>80% of the affected population targeted by UN funded projects have access</w:t>
            </w:r>
            <w:r w:rsidR="00E41922">
              <w:t xml:space="preserve"> </w:t>
            </w:r>
            <w:r>
              <w:t>to at least one safely accessible channel to report complaints, incl. sexual exploitation and abuse</w:t>
            </w:r>
          </w:p>
        </w:tc>
        <w:tc>
          <w:tcPr>
            <w:tcW w:w="5099" w:type="dxa"/>
          </w:tcPr>
          <w:p w14:paraId="7143023E" w14:textId="7BA4C9D7" w:rsidR="00921BA6" w:rsidRDefault="0086161D" w:rsidP="00811E2A">
            <w:pPr>
              <w:pStyle w:val="NoSpacing"/>
            </w:pPr>
            <w:r w:rsidRPr="0086161D">
              <w:t>• Mapping of existing complaint and feedback mechanisms accessible and publicly available hotline free of charge.</w:t>
            </w:r>
          </w:p>
        </w:tc>
        <w:tc>
          <w:tcPr>
            <w:tcW w:w="1115" w:type="dxa"/>
          </w:tcPr>
          <w:p w14:paraId="32BA0507" w14:textId="4A40F75E" w:rsidR="00921BA6" w:rsidRDefault="0086161D" w:rsidP="00811E2A">
            <w:pPr>
              <w:pStyle w:val="NoSpacing"/>
              <w:rPr>
                <w:color w:val="000000"/>
              </w:rPr>
            </w:pPr>
            <w:r>
              <w:rPr>
                <w:color w:val="000000"/>
              </w:rPr>
              <w:t>Q1</w:t>
            </w:r>
          </w:p>
        </w:tc>
        <w:tc>
          <w:tcPr>
            <w:tcW w:w="1617" w:type="dxa"/>
          </w:tcPr>
          <w:p w14:paraId="255FA4CD" w14:textId="3DA00390" w:rsidR="00921BA6" w:rsidRDefault="00D93C58" w:rsidP="00811E2A">
            <w:pPr>
              <w:pStyle w:val="NoSpacing"/>
            </w:pPr>
            <w:r>
              <w:t>N</w:t>
            </w:r>
            <w:r w:rsidR="0086161D">
              <w:t>/A</w:t>
            </w:r>
          </w:p>
        </w:tc>
        <w:tc>
          <w:tcPr>
            <w:tcW w:w="1918" w:type="dxa"/>
          </w:tcPr>
          <w:p w14:paraId="61421C58" w14:textId="2FC8F009" w:rsidR="00921BA6" w:rsidRDefault="0086161D" w:rsidP="00811E2A">
            <w:pPr>
              <w:pStyle w:val="NoSpacing"/>
            </w:pPr>
            <w:r w:rsidRPr="0086161D">
              <w:t>Each UN Agency through PSEA/AAP focal points and/or M&amp;E personnel, in coordination with PSEA IMO</w:t>
            </w:r>
          </w:p>
        </w:tc>
      </w:tr>
      <w:tr w:rsidR="007B6A05" w14:paraId="26C46F69" w14:textId="77777777" w:rsidTr="00545080">
        <w:tc>
          <w:tcPr>
            <w:tcW w:w="2425" w:type="dxa"/>
          </w:tcPr>
          <w:p w14:paraId="676223C7" w14:textId="5DDC4436" w:rsidR="007B6A05" w:rsidRPr="007B6A05" w:rsidRDefault="007B6A05" w:rsidP="00C64691">
            <w:pPr>
              <w:spacing w:after="160" w:line="259" w:lineRule="auto"/>
            </w:pPr>
            <w:r w:rsidRPr="007B6A05">
              <w:t>c. UNCT meet required Minimum Operations Standards (MoS) and Core Humanitarian Standards PSEA Index to enable appropriate complaints receipt and handling, with investigation and reporting procedures in place,</w:t>
            </w:r>
            <w:r w:rsidR="0086161D">
              <w:t xml:space="preserve"> </w:t>
            </w:r>
            <w:r w:rsidRPr="007B6A05">
              <w:t>implementation of the UN victim assistance protocol/strategy</w:t>
            </w:r>
          </w:p>
        </w:tc>
        <w:tc>
          <w:tcPr>
            <w:tcW w:w="2306" w:type="dxa"/>
          </w:tcPr>
          <w:p w14:paraId="3B038407" w14:textId="4DFFAB89" w:rsidR="007B6A05" w:rsidRPr="00DA7B76" w:rsidRDefault="0086161D" w:rsidP="00811E2A">
            <w:pPr>
              <w:pStyle w:val="NoSpacing"/>
            </w:pPr>
            <w:r w:rsidRPr="0086161D">
              <w:t>Set up of inter-agency C</w:t>
            </w:r>
            <w:r w:rsidR="00AD0374">
              <w:t>ommunity Complaints Based Mechanisms</w:t>
            </w:r>
            <w:r w:rsidR="00800F0B">
              <w:t xml:space="preserve">* (CBCMs) </w:t>
            </w:r>
            <w:r w:rsidRPr="0086161D">
              <w:t>piloted in</w:t>
            </w:r>
            <w:r>
              <w:t xml:space="preserve"> </w:t>
            </w:r>
            <w:r w:rsidR="00E41922" w:rsidRPr="0086161D">
              <w:t>high-risk</w:t>
            </w:r>
            <w:r w:rsidRPr="0086161D">
              <w:t xml:space="preserve"> areas, i.e. Odessa</w:t>
            </w:r>
          </w:p>
        </w:tc>
        <w:tc>
          <w:tcPr>
            <w:tcW w:w="5099" w:type="dxa"/>
          </w:tcPr>
          <w:p w14:paraId="0135C3B3" w14:textId="14075157" w:rsidR="0086161D" w:rsidRDefault="0086161D" w:rsidP="0086161D">
            <w:pPr>
              <w:pStyle w:val="NoSpacing"/>
            </w:pPr>
            <w:r>
              <w:t xml:space="preserve">• Multiple confidential reporting channels are available </w:t>
            </w:r>
            <w:r w:rsidR="00AD0374">
              <w:t xml:space="preserve">and tailored to targeted groups of </w:t>
            </w:r>
            <w:r>
              <w:t>population (PLWD, ROMA</w:t>
            </w:r>
            <w:r w:rsidR="00800F0B">
              <w:t>, Women CSOs</w:t>
            </w:r>
            <w:r>
              <w:t>).</w:t>
            </w:r>
          </w:p>
          <w:p w14:paraId="10ECC841" w14:textId="15E9FC8F" w:rsidR="007B6A05" w:rsidRPr="0024782B" w:rsidRDefault="0086161D" w:rsidP="0086161D">
            <w:pPr>
              <w:pStyle w:val="NoSpacing"/>
            </w:pPr>
            <w:r>
              <w:t>• Inter-agency CBCM mechanisms</w:t>
            </w:r>
            <w:r w:rsidR="00800F0B">
              <w:t xml:space="preserve">, </w:t>
            </w:r>
            <w:r w:rsidR="00DD3840">
              <w:t>and</w:t>
            </w:r>
            <w:r w:rsidR="00800F0B">
              <w:t xml:space="preserve"> GBV</w:t>
            </w:r>
            <w:r w:rsidR="00380A42">
              <w:t xml:space="preserve"> /</w:t>
            </w:r>
            <w:r w:rsidR="00800F0B">
              <w:t xml:space="preserve"> CP referral pathways </w:t>
            </w:r>
            <w:r w:rsidR="00380A42">
              <w:t xml:space="preserve">to refer victims to appropriate </w:t>
            </w:r>
            <w:r w:rsidR="00DD3840">
              <w:t xml:space="preserve">available </w:t>
            </w:r>
            <w:r w:rsidR="00380A42">
              <w:t xml:space="preserve">services </w:t>
            </w:r>
            <w:r w:rsidR="00DD3840">
              <w:t>are updated on the PSEA Network webpage</w:t>
            </w:r>
          </w:p>
        </w:tc>
        <w:tc>
          <w:tcPr>
            <w:tcW w:w="1115" w:type="dxa"/>
          </w:tcPr>
          <w:p w14:paraId="66CB1291" w14:textId="18E9C1FF" w:rsidR="007B6A05" w:rsidRPr="00DA7B76" w:rsidRDefault="00D93C58" w:rsidP="00811E2A">
            <w:pPr>
              <w:pStyle w:val="NoSpacing"/>
              <w:rPr>
                <w:color w:val="000000"/>
              </w:rPr>
            </w:pPr>
            <w:r w:rsidRPr="00D93C58">
              <w:rPr>
                <w:color w:val="000000"/>
              </w:rPr>
              <w:t>Q1,</w:t>
            </w:r>
            <w:r w:rsidR="00856BAC">
              <w:rPr>
                <w:color w:val="000000"/>
              </w:rPr>
              <w:t xml:space="preserve"> </w:t>
            </w:r>
            <w:r w:rsidRPr="00D93C58">
              <w:rPr>
                <w:color w:val="000000"/>
              </w:rPr>
              <w:t>Q2</w:t>
            </w:r>
          </w:p>
        </w:tc>
        <w:tc>
          <w:tcPr>
            <w:tcW w:w="1617" w:type="dxa"/>
          </w:tcPr>
          <w:p w14:paraId="17944448" w14:textId="7F6F6FFA" w:rsidR="007B6A05" w:rsidRDefault="00D93C58" w:rsidP="00811E2A">
            <w:pPr>
              <w:pStyle w:val="NoSpacing"/>
            </w:pPr>
            <w:r w:rsidRPr="00D93C58">
              <w:t>Internal Resources</w:t>
            </w:r>
          </w:p>
        </w:tc>
        <w:tc>
          <w:tcPr>
            <w:tcW w:w="1918" w:type="dxa"/>
          </w:tcPr>
          <w:p w14:paraId="2E0C3E72" w14:textId="51D0A18F" w:rsidR="007B6A05" w:rsidRPr="00E4583A" w:rsidRDefault="00D93C58" w:rsidP="00811E2A">
            <w:pPr>
              <w:pStyle w:val="NoSpacing"/>
            </w:pPr>
            <w:r w:rsidRPr="00D93C58">
              <w:t>UNFPA, OCHA</w:t>
            </w:r>
          </w:p>
        </w:tc>
      </w:tr>
    </w:tbl>
    <w:p w14:paraId="0E30F634" w14:textId="77777777" w:rsidR="005D177C" w:rsidRDefault="005D177C" w:rsidP="005D177C">
      <w:pPr>
        <w:pStyle w:val="NoSpacing"/>
      </w:pPr>
    </w:p>
    <w:p w14:paraId="4366681C" w14:textId="79E2821E" w:rsidR="00C64691" w:rsidRDefault="00C64691" w:rsidP="005D177C">
      <w:pPr>
        <w:pStyle w:val="NoSpacing"/>
        <w:rPr>
          <w:b/>
          <w:bCs/>
        </w:rPr>
      </w:pPr>
      <w:r w:rsidRPr="00D24FF3">
        <w:rPr>
          <w:b/>
          <w:bCs/>
        </w:rPr>
        <w:t xml:space="preserve">Output </w:t>
      </w:r>
      <w:r w:rsidRPr="003A2BC5">
        <w:rPr>
          <w:b/>
          <w:bCs/>
        </w:rPr>
        <w:t>2.</w:t>
      </w:r>
      <w:r>
        <w:rPr>
          <w:b/>
          <w:bCs/>
        </w:rPr>
        <w:t>2</w:t>
      </w:r>
      <w:r w:rsidRPr="003A2BC5">
        <w:rPr>
          <w:b/>
          <w:bCs/>
        </w:rPr>
        <w:t xml:space="preserve"> </w:t>
      </w:r>
      <w:r w:rsidRPr="00C64691">
        <w:rPr>
          <w:b/>
          <w:bCs/>
        </w:rPr>
        <w:t>Communities and people affected by crisis are aware of the expected behavior (ACCEPTABLE and NOT ACCEPTABLE) of UN personnel working with end beneficiaries.</w:t>
      </w:r>
    </w:p>
    <w:tbl>
      <w:tblPr>
        <w:tblStyle w:val="TableGrid"/>
        <w:tblW w:w="0" w:type="auto"/>
        <w:tblCellMar>
          <w:left w:w="72" w:type="dxa"/>
          <w:right w:w="72" w:type="dxa"/>
        </w:tblCellMar>
        <w:tblLook w:val="04A0" w:firstRow="1" w:lastRow="0" w:firstColumn="1" w:lastColumn="0" w:noHBand="0" w:noVBand="1"/>
      </w:tblPr>
      <w:tblGrid>
        <w:gridCol w:w="2335"/>
        <w:gridCol w:w="2508"/>
        <w:gridCol w:w="4872"/>
        <w:gridCol w:w="1170"/>
        <w:gridCol w:w="1620"/>
        <w:gridCol w:w="1975"/>
      </w:tblGrid>
      <w:tr w:rsidR="00C64691" w:rsidRPr="00D24FF3" w14:paraId="457FCF87" w14:textId="77777777" w:rsidTr="00831983">
        <w:trPr>
          <w:tblHeader/>
        </w:trPr>
        <w:tc>
          <w:tcPr>
            <w:tcW w:w="2335" w:type="dxa"/>
            <w:shd w:val="clear" w:color="auto" w:fill="4472C4" w:themeFill="accent1"/>
          </w:tcPr>
          <w:p w14:paraId="6A3E8570" w14:textId="77777777" w:rsidR="00C64691" w:rsidRPr="00D24FF3" w:rsidRDefault="00C64691" w:rsidP="00811E2A">
            <w:pPr>
              <w:pStyle w:val="NoSpacing"/>
              <w:rPr>
                <w:color w:val="FFFFFF" w:themeColor="background1"/>
              </w:rPr>
            </w:pPr>
            <w:r>
              <w:rPr>
                <w:color w:val="FFFFFF" w:themeColor="background1"/>
              </w:rPr>
              <w:t>Indicator</w:t>
            </w:r>
          </w:p>
        </w:tc>
        <w:tc>
          <w:tcPr>
            <w:tcW w:w="2508" w:type="dxa"/>
            <w:shd w:val="clear" w:color="auto" w:fill="4472C4" w:themeFill="accent1"/>
          </w:tcPr>
          <w:p w14:paraId="7B920B80" w14:textId="77777777" w:rsidR="00C64691" w:rsidRPr="00D24FF3" w:rsidRDefault="00C64691" w:rsidP="00811E2A">
            <w:pPr>
              <w:pStyle w:val="NoSpacing"/>
              <w:rPr>
                <w:color w:val="FFFFFF" w:themeColor="background1"/>
              </w:rPr>
            </w:pPr>
            <w:r>
              <w:rPr>
                <w:color w:val="FFFFFF" w:themeColor="background1"/>
              </w:rPr>
              <w:t>Target/Benchmark</w:t>
            </w:r>
          </w:p>
        </w:tc>
        <w:tc>
          <w:tcPr>
            <w:tcW w:w="4872" w:type="dxa"/>
            <w:shd w:val="clear" w:color="auto" w:fill="4472C4" w:themeFill="accent1"/>
          </w:tcPr>
          <w:p w14:paraId="2CD02A55" w14:textId="77777777" w:rsidR="00C64691" w:rsidRPr="00D24FF3" w:rsidRDefault="00C64691" w:rsidP="00811E2A">
            <w:pPr>
              <w:pStyle w:val="NoSpacing"/>
              <w:rPr>
                <w:color w:val="FFFFFF" w:themeColor="background1"/>
              </w:rPr>
            </w:pPr>
            <w:r>
              <w:rPr>
                <w:color w:val="FFFFFF" w:themeColor="background1"/>
              </w:rPr>
              <w:t>Key Action</w:t>
            </w:r>
          </w:p>
        </w:tc>
        <w:tc>
          <w:tcPr>
            <w:tcW w:w="1170" w:type="dxa"/>
            <w:shd w:val="clear" w:color="auto" w:fill="4472C4" w:themeFill="accent1"/>
          </w:tcPr>
          <w:p w14:paraId="48F4CA08" w14:textId="77777777" w:rsidR="00C64691" w:rsidRPr="00D24FF3" w:rsidRDefault="00C64691" w:rsidP="00811E2A">
            <w:pPr>
              <w:pStyle w:val="NoSpacing"/>
              <w:rPr>
                <w:color w:val="FFFFFF" w:themeColor="background1"/>
              </w:rPr>
            </w:pPr>
            <w:r>
              <w:rPr>
                <w:color w:val="FFFFFF" w:themeColor="background1"/>
              </w:rPr>
              <w:t>Timeframe</w:t>
            </w:r>
          </w:p>
        </w:tc>
        <w:tc>
          <w:tcPr>
            <w:tcW w:w="1620" w:type="dxa"/>
            <w:shd w:val="clear" w:color="auto" w:fill="4472C4" w:themeFill="accent1"/>
          </w:tcPr>
          <w:p w14:paraId="71F775DC" w14:textId="77777777" w:rsidR="00C64691" w:rsidRPr="00D24FF3" w:rsidRDefault="00C64691" w:rsidP="00811E2A">
            <w:pPr>
              <w:pStyle w:val="NoSpacing"/>
              <w:rPr>
                <w:color w:val="FFFFFF" w:themeColor="background1"/>
              </w:rPr>
            </w:pPr>
            <w:r>
              <w:rPr>
                <w:color w:val="FFFFFF" w:themeColor="background1"/>
              </w:rPr>
              <w:t>Budget/Funding</w:t>
            </w:r>
          </w:p>
        </w:tc>
        <w:tc>
          <w:tcPr>
            <w:tcW w:w="1975" w:type="dxa"/>
            <w:shd w:val="clear" w:color="auto" w:fill="4472C4" w:themeFill="accent1"/>
          </w:tcPr>
          <w:p w14:paraId="3D717AC6" w14:textId="77777777" w:rsidR="00C64691" w:rsidRPr="00D24FF3" w:rsidRDefault="00C64691" w:rsidP="00811E2A">
            <w:pPr>
              <w:pStyle w:val="NoSpacing"/>
              <w:rPr>
                <w:color w:val="FFFFFF" w:themeColor="background1"/>
              </w:rPr>
            </w:pPr>
            <w:r>
              <w:rPr>
                <w:color w:val="FFFFFF" w:themeColor="background1"/>
              </w:rPr>
              <w:t>Lead Agency/</w:t>
            </w:r>
            <w:proofErr w:type="spellStart"/>
            <w:r>
              <w:rPr>
                <w:color w:val="FFFFFF" w:themeColor="background1"/>
              </w:rPr>
              <w:t>ies</w:t>
            </w:r>
            <w:proofErr w:type="spellEnd"/>
          </w:p>
        </w:tc>
      </w:tr>
      <w:tr w:rsidR="00856BAC" w14:paraId="2FC65E07" w14:textId="77777777" w:rsidTr="00831983">
        <w:tc>
          <w:tcPr>
            <w:tcW w:w="2335" w:type="dxa"/>
          </w:tcPr>
          <w:p w14:paraId="53494077" w14:textId="3F4E2A9F" w:rsidR="00856BAC" w:rsidRDefault="00856BAC" w:rsidP="00856BAC">
            <w:pPr>
              <w:pStyle w:val="NoSpacing"/>
            </w:pPr>
            <w:r w:rsidRPr="00C64691">
              <w:t>a. Number of adults and children reached through awareness activities and community mobilization interventions on PSEA</w:t>
            </w:r>
          </w:p>
        </w:tc>
        <w:tc>
          <w:tcPr>
            <w:tcW w:w="2508" w:type="dxa"/>
          </w:tcPr>
          <w:p w14:paraId="3C3AE794" w14:textId="76D3E311" w:rsidR="00856BAC" w:rsidRDefault="00856BAC" w:rsidP="00856BAC">
            <w:pPr>
              <w:pStyle w:val="NoSpacing"/>
            </w:pPr>
            <w:r w:rsidRPr="00C121B2">
              <w:t>By Q4, each agency should organize/take part in at least one awareness raising campaign</w:t>
            </w:r>
          </w:p>
        </w:tc>
        <w:tc>
          <w:tcPr>
            <w:tcW w:w="4872" w:type="dxa"/>
          </w:tcPr>
          <w:p w14:paraId="3AD2E425" w14:textId="41B98523" w:rsidR="00856BAC" w:rsidRDefault="00856BAC" w:rsidP="00856BAC">
            <w:pPr>
              <w:pStyle w:val="NoSpacing"/>
            </w:pPr>
            <w:r w:rsidRPr="00856BAC">
              <w:t>• Gender and age disaggregated data gathered of persons reached through dissemination or awareness raising activities</w:t>
            </w:r>
          </w:p>
        </w:tc>
        <w:tc>
          <w:tcPr>
            <w:tcW w:w="1170" w:type="dxa"/>
          </w:tcPr>
          <w:p w14:paraId="47872EF1" w14:textId="4D6DEB54" w:rsidR="00856BAC" w:rsidRDefault="00856BAC" w:rsidP="00856BAC">
            <w:pPr>
              <w:pStyle w:val="NoSpacing"/>
            </w:pPr>
            <w:r>
              <w:t>All year</w:t>
            </w:r>
          </w:p>
        </w:tc>
        <w:tc>
          <w:tcPr>
            <w:tcW w:w="1620" w:type="dxa"/>
          </w:tcPr>
          <w:p w14:paraId="2820A2AD" w14:textId="4EC1C53F" w:rsidR="00856BAC" w:rsidRDefault="00856BAC" w:rsidP="00856BAC">
            <w:pPr>
              <w:pStyle w:val="NoSpacing"/>
            </w:pPr>
            <w:r>
              <w:t>N/A</w:t>
            </w:r>
          </w:p>
        </w:tc>
        <w:tc>
          <w:tcPr>
            <w:tcW w:w="1975" w:type="dxa"/>
          </w:tcPr>
          <w:p w14:paraId="070D997F" w14:textId="386334DE" w:rsidR="00856BAC" w:rsidRDefault="00856BAC" w:rsidP="00856BAC">
            <w:pPr>
              <w:spacing w:after="160" w:line="259" w:lineRule="auto"/>
            </w:pPr>
            <w:r w:rsidRPr="00E479E6">
              <w:t>Each UN Agency/ jointly through the PSEA</w:t>
            </w:r>
            <w:r>
              <w:t xml:space="preserve"> </w:t>
            </w:r>
            <w:r w:rsidRPr="00E479E6">
              <w:t>Network (lead by IOM, UNFPA, UNHCR -AAP)</w:t>
            </w:r>
          </w:p>
        </w:tc>
      </w:tr>
      <w:tr w:rsidR="00856BAC" w14:paraId="77A8938B" w14:textId="77777777" w:rsidTr="00831983">
        <w:tc>
          <w:tcPr>
            <w:tcW w:w="2335" w:type="dxa"/>
          </w:tcPr>
          <w:p w14:paraId="5953A96F" w14:textId="34C5F885" w:rsidR="00856BAC" w:rsidRPr="00C64691" w:rsidRDefault="00856BAC" w:rsidP="00856BAC">
            <w:pPr>
              <w:pStyle w:val="NoSpacing"/>
            </w:pPr>
            <w:r w:rsidRPr="00C64691">
              <w:t>b. Percentage of sites regularly accessed by affected/host populations with PSEA communications materials, on prohibition of SEA, how to report and how to access victim/survivor- centered assistance</w:t>
            </w:r>
          </w:p>
        </w:tc>
        <w:tc>
          <w:tcPr>
            <w:tcW w:w="2508" w:type="dxa"/>
          </w:tcPr>
          <w:p w14:paraId="7997F012" w14:textId="32308C96" w:rsidR="00856BAC" w:rsidRDefault="00856BAC" w:rsidP="00856BAC">
            <w:pPr>
              <w:pStyle w:val="NoSpacing"/>
            </w:pPr>
            <w:r w:rsidRPr="00C121B2">
              <w:t>100% of UN facilities provide information on the prohibition of sexual exploitation and abuse, how to report and access free assistanc</w:t>
            </w:r>
            <w:r>
              <w:t>e</w:t>
            </w:r>
          </w:p>
        </w:tc>
        <w:tc>
          <w:tcPr>
            <w:tcW w:w="4872" w:type="dxa"/>
          </w:tcPr>
          <w:p w14:paraId="74833082" w14:textId="5AA22171" w:rsidR="00856BAC" w:rsidRDefault="00856BAC" w:rsidP="00856BAC">
            <w:pPr>
              <w:pStyle w:val="NoSpacing"/>
            </w:pPr>
            <w:r>
              <w:t>• Age and gender-sensitive materials on how to report sexual exploitation and abuse and how to access victim/survivor- centered assistance developed and disseminated in coordination with GBV and CP sub- clusters</w:t>
            </w:r>
          </w:p>
          <w:p w14:paraId="54E1E031" w14:textId="67E8CF1B" w:rsidR="00856BAC" w:rsidRDefault="00856BAC" w:rsidP="00856BAC">
            <w:pPr>
              <w:pStyle w:val="NoSpacing"/>
            </w:pPr>
            <w:r>
              <w:t>• Audio-visual campaign</w:t>
            </w:r>
          </w:p>
        </w:tc>
        <w:tc>
          <w:tcPr>
            <w:tcW w:w="1170" w:type="dxa"/>
          </w:tcPr>
          <w:p w14:paraId="7862A92A" w14:textId="004ECD09" w:rsidR="00856BAC" w:rsidRDefault="00856BAC" w:rsidP="00856BAC">
            <w:pPr>
              <w:pStyle w:val="NoSpacing"/>
            </w:pPr>
            <w:r>
              <w:t>All year</w:t>
            </w:r>
          </w:p>
        </w:tc>
        <w:tc>
          <w:tcPr>
            <w:tcW w:w="1620" w:type="dxa"/>
          </w:tcPr>
          <w:p w14:paraId="7C00A9A3" w14:textId="0E0E0AA8" w:rsidR="00856BAC" w:rsidRDefault="00856BAC" w:rsidP="00856BAC">
            <w:pPr>
              <w:pStyle w:val="NoSpacing"/>
            </w:pPr>
            <w:r>
              <w:t>N/A</w:t>
            </w:r>
          </w:p>
        </w:tc>
        <w:tc>
          <w:tcPr>
            <w:tcW w:w="1975" w:type="dxa"/>
          </w:tcPr>
          <w:p w14:paraId="7D7D492D" w14:textId="77777777" w:rsidR="00856BAC" w:rsidRDefault="00856BAC" w:rsidP="00856BAC">
            <w:r>
              <w:t>UNHCR,</w:t>
            </w:r>
          </w:p>
          <w:p w14:paraId="4A6D3C6E" w14:textId="77777777" w:rsidR="00856BAC" w:rsidRDefault="00856BAC" w:rsidP="00856BAC">
            <w:r>
              <w:t>Joint through PSEA</w:t>
            </w:r>
          </w:p>
          <w:p w14:paraId="4078DC4F" w14:textId="2B8F63F8" w:rsidR="00856BAC" w:rsidRDefault="00856BAC" w:rsidP="00856BAC">
            <w:r>
              <w:t>Network.</w:t>
            </w:r>
          </w:p>
        </w:tc>
      </w:tr>
    </w:tbl>
    <w:p w14:paraId="4FF6B7D4" w14:textId="0729A7B3" w:rsidR="00BF5CB0" w:rsidRDefault="00BF5CB0"/>
    <w:p w14:paraId="38FB6A83" w14:textId="31424E8F" w:rsidR="00921BA6" w:rsidRPr="0015389E" w:rsidRDefault="00921BA6" w:rsidP="00921BA6">
      <w:pPr>
        <w:pStyle w:val="NoSpacing"/>
        <w:rPr>
          <w:b/>
          <w:bCs/>
          <w:color w:val="002060"/>
          <w:sz w:val="28"/>
          <w:szCs w:val="28"/>
        </w:rPr>
      </w:pPr>
      <w:r w:rsidRPr="0015389E">
        <w:rPr>
          <w:b/>
          <w:bCs/>
          <w:color w:val="002060"/>
          <w:sz w:val="28"/>
          <w:szCs w:val="28"/>
        </w:rPr>
        <w:t xml:space="preserve">Outcome Area </w:t>
      </w:r>
      <w:r>
        <w:rPr>
          <w:b/>
          <w:bCs/>
          <w:color w:val="002060"/>
          <w:sz w:val="28"/>
          <w:szCs w:val="28"/>
        </w:rPr>
        <w:t>3</w:t>
      </w:r>
      <w:r w:rsidRPr="0015389E">
        <w:rPr>
          <w:b/>
          <w:bCs/>
          <w:color w:val="002060"/>
          <w:sz w:val="28"/>
          <w:szCs w:val="28"/>
        </w:rPr>
        <w:t xml:space="preserve"> –</w:t>
      </w:r>
      <w:r w:rsidR="004C0CD4">
        <w:rPr>
          <w:b/>
          <w:bCs/>
          <w:color w:val="002060"/>
          <w:sz w:val="28"/>
          <w:szCs w:val="28"/>
        </w:rPr>
        <w:t xml:space="preserve"> </w:t>
      </w:r>
      <w:r w:rsidR="004C0CD4" w:rsidRPr="004C0CD4">
        <w:rPr>
          <w:b/>
          <w:bCs/>
          <w:color w:val="002060"/>
          <w:sz w:val="28"/>
          <w:szCs w:val="28"/>
        </w:rPr>
        <w:t>Victims’ right to assistance</w:t>
      </w:r>
    </w:p>
    <w:p w14:paraId="2031F184" w14:textId="0BAE075A" w:rsidR="00921BA6" w:rsidRDefault="00921BA6" w:rsidP="001A3153">
      <w:pPr>
        <w:spacing w:after="0"/>
        <w:rPr>
          <w:b/>
          <w:bCs/>
          <w:color w:val="002060"/>
        </w:rPr>
      </w:pPr>
      <w:r w:rsidRPr="001A3153">
        <w:rPr>
          <w:b/>
          <w:bCs/>
          <w:color w:val="002060"/>
        </w:rPr>
        <w:t xml:space="preserve">Outcome statement 3. </w:t>
      </w:r>
      <w:r w:rsidR="004C0CD4" w:rsidRPr="001A3153">
        <w:rPr>
          <w:b/>
          <w:bCs/>
          <w:color w:val="002060"/>
        </w:rPr>
        <w:t>Every victim/survivor/complainant is offered immediate, quality assistance (medical care, psychosocial support, legal assistance, physical protection</w:t>
      </w:r>
      <w:r w:rsidR="00006BA2">
        <w:rPr>
          <w:b/>
          <w:bCs/>
          <w:color w:val="002060"/>
        </w:rPr>
        <w:t>,</w:t>
      </w:r>
      <w:r w:rsidR="004C0CD4" w:rsidRPr="001A3153">
        <w:rPr>
          <w:b/>
          <w:bCs/>
          <w:color w:val="002060"/>
        </w:rPr>
        <w:t xml:space="preserve"> reintegration support).</w:t>
      </w:r>
    </w:p>
    <w:p w14:paraId="59412286" w14:textId="77777777" w:rsidR="001A3153" w:rsidRPr="001A3153" w:rsidRDefault="001A3153" w:rsidP="001A3153">
      <w:pPr>
        <w:spacing w:after="0"/>
        <w:rPr>
          <w:b/>
          <w:bCs/>
          <w:color w:val="002060"/>
        </w:rPr>
      </w:pPr>
    </w:p>
    <w:p w14:paraId="370B2B32" w14:textId="135D8BFD" w:rsidR="00921BA6" w:rsidRPr="00D24FF3" w:rsidRDefault="00921BA6" w:rsidP="00921BA6">
      <w:pPr>
        <w:pStyle w:val="NoSpacing"/>
        <w:rPr>
          <w:b/>
          <w:bCs/>
        </w:rPr>
      </w:pPr>
      <w:r w:rsidRPr="00D24FF3">
        <w:rPr>
          <w:b/>
          <w:bCs/>
        </w:rPr>
        <w:t xml:space="preserve">Output </w:t>
      </w:r>
      <w:r>
        <w:rPr>
          <w:b/>
          <w:bCs/>
        </w:rPr>
        <w:t>3.1</w:t>
      </w:r>
      <w:r w:rsidR="003D7263">
        <w:rPr>
          <w:b/>
          <w:bCs/>
        </w:rPr>
        <w:t xml:space="preserve"> </w:t>
      </w:r>
      <w:r w:rsidR="003D7263" w:rsidRPr="003D7263">
        <w:rPr>
          <w:b/>
          <w:bCs/>
        </w:rPr>
        <w:t xml:space="preserve">Victims/ survivors of SEA </w:t>
      </w:r>
      <w:r w:rsidR="003D7263">
        <w:rPr>
          <w:b/>
          <w:bCs/>
        </w:rPr>
        <w:t>are</w:t>
      </w:r>
      <w:r w:rsidR="003D7263" w:rsidRPr="003D7263">
        <w:rPr>
          <w:b/>
          <w:bCs/>
        </w:rPr>
        <w:t xml:space="preserve"> provided </w:t>
      </w:r>
      <w:r w:rsidR="003D7263">
        <w:rPr>
          <w:b/>
          <w:bCs/>
        </w:rPr>
        <w:t xml:space="preserve">with assistance </w:t>
      </w:r>
      <w:r w:rsidR="003D7263" w:rsidRPr="003D7263">
        <w:rPr>
          <w:b/>
          <w:bCs/>
        </w:rPr>
        <w:t>through existing services and programmes, such as established gender-based violence (GBV) or child protection (CP) programming and resourced accordingly as much as possible</w:t>
      </w:r>
      <w:r w:rsidR="00AA4F26">
        <w:rPr>
          <w:b/>
          <w:bCs/>
        </w:rPr>
        <w:t>.</w:t>
      </w:r>
    </w:p>
    <w:tbl>
      <w:tblPr>
        <w:tblStyle w:val="TableGrid"/>
        <w:tblW w:w="0" w:type="auto"/>
        <w:tblCellMar>
          <w:left w:w="72" w:type="dxa"/>
          <w:right w:w="72" w:type="dxa"/>
        </w:tblCellMar>
        <w:tblLook w:val="04A0" w:firstRow="1" w:lastRow="0" w:firstColumn="1" w:lastColumn="0" w:noHBand="0" w:noVBand="1"/>
      </w:tblPr>
      <w:tblGrid>
        <w:gridCol w:w="2335"/>
        <w:gridCol w:w="2508"/>
        <w:gridCol w:w="4872"/>
        <w:gridCol w:w="1170"/>
        <w:gridCol w:w="1620"/>
        <w:gridCol w:w="1975"/>
      </w:tblGrid>
      <w:tr w:rsidR="003D7263" w:rsidRPr="00D24FF3" w14:paraId="7EF507C1" w14:textId="77777777" w:rsidTr="00831983">
        <w:trPr>
          <w:tblHeader/>
        </w:trPr>
        <w:tc>
          <w:tcPr>
            <w:tcW w:w="2335" w:type="dxa"/>
            <w:shd w:val="clear" w:color="auto" w:fill="4472C4" w:themeFill="accent1"/>
          </w:tcPr>
          <w:p w14:paraId="2E086054" w14:textId="77777777" w:rsidR="003D7263" w:rsidRPr="00D24FF3" w:rsidRDefault="003D7263" w:rsidP="00811E2A">
            <w:pPr>
              <w:pStyle w:val="NoSpacing"/>
              <w:rPr>
                <w:color w:val="FFFFFF" w:themeColor="background1"/>
              </w:rPr>
            </w:pPr>
            <w:r>
              <w:rPr>
                <w:color w:val="FFFFFF" w:themeColor="background1"/>
              </w:rPr>
              <w:t>Indicator</w:t>
            </w:r>
          </w:p>
        </w:tc>
        <w:tc>
          <w:tcPr>
            <w:tcW w:w="2508" w:type="dxa"/>
            <w:shd w:val="clear" w:color="auto" w:fill="4472C4" w:themeFill="accent1"/>
          </w:tcPr>
          <w:p w14:paraId="12644724" w14:textId="77777777" w:rsidR="003D7263" w:rsidRPr="00D24FF3" w:rsidRDefault="003D7263" w:rsidP="00811E2A">
            <w:pPr>
              <w:pStyle w:val="NoSpacing"/>
              <w:rPr>
                <w:color w:val="FFFFFF" w:themeColor="background1"/>
              </w:rPr>
            </w:pPr>
            <w:r>
              <w:rPr>
                <w:color w:val="FFFFFF" w:themeColor="background1"/>
              </w:rPr>
              <w:t>Target/Benchmark</w:t>
            </w:r>
          </w:p>
        </w:tc>
        <w:tc>
          <w:tcPr>
            <w:tcW w:w="4872" w:type="dxa"/>
            <w:shd w:val="clear" w:color="auto" w:fill="4472C4" w:themeFill="accent1"/>
          </w:tcPr>
          <w:p w14:paraId="2C09F4A4" w14:textId="77777777" w:rsidR="003D7263" w:rsidRPr="00D24FF3" w:rsidRDefault="003D7263" w:rsidP="00811E2A">
            <w:pPr>
              <w:pStyle w:val="NoSpacing"/>
              <w:rPr>
                <w:color w:val="FFFFFF" w:themeColor="background1"/>
              </w:rPr>
            </w:pPr>
            <w:r>
              <w:rPr>
                <w:color w:val="FFFFFF" w:themeColor="background1"/>
              </w:rPr>
              <w:t>Key Action</w:t>
            </w:r>
          </w:p>
        </w:tc>
        <w:tc>
          <w:tcPr>
            <w:tcW w:w="1170" w:type="dxa"/>
            <w:shd w:val="clear" w:color="auto" w:fill="4472C4" w:themeFill="accent1"/>
          </w:tcPr>
          <w:p w14:paraId="14FAF2C6" w14:textId="77777777" w:rsidR="003D7263" w:rsidRPr="00D24FF3" w:rsidRDefault="003D7263" w:rsidP="00811E2A">
            <w:pPr>
              <w:pStyle w:val="NoSpacing"/>
              <w:rPr>
                <w:color w:val="FFFFFF" w:themeColor="background1"/>
              </w:rPr>
            </w:pPr>
            <w:r>
              <w:rPr>
                <w:color w:val="FFFFFF" w:themeColor="background1"/>
              </w:rPr>
              <w:t>Timeframe</w:t>
            </w:r>
          </w:p>
        </w:tc>
        <w:tc>
          <w:tcPr>
            <w:tcW w:w="1620" w:type="dxa"/>
            <w:shd w:val="clear" w:color="auto" w:fill="4472C4" w:themeFill="accent1"/>
          </w:tcPr>
          <w:p w14:paraId="7A405C6F" w14:textId="77777777" w:rsidR="003D7263" w:rsidRPr="00D24FF3" w:rsidRDefault="003D7263" w:rsidP="00811E2A">
            <w:pPr>
              <w:pStyle w:val="NoSpacing"/>
              <w:rPr>
                <w:color w:val="FFFFFF" w:themeColor="background1"/>
              </w:rPr>
            </w:pPr>
            <w:r>
              <w:rPr>
                <w:color w:val="FFFFFF" w:themeColor="background1"/>
              </w:rPr>
              <w:t>Budget/Funding</w:t>
            </w:r>
          </w:p>
        </w:tc>
        <w:tc>
          <w:tcPr>
            <w:tcW w:w="1975" w:type="dxa"/>
            <w:shd w:val="clear" w:color="auto" w:fill="4472C4" w:themeFill="accent1"/>
          </w:tcPr>
          <w:p w14:paraId="12270B9C" w14:textId="77777777" w:rsidR="003D7263" w:rsidRPr="00D24FF3" w:rsidRDefault="003D7263" w:rsidP="00811E2A">
            <w:pPr>
              <w:pStyle w:val="NoSpacing"/>
              <w:rPr>
                <w:color w:val="FFFFFF" w:themeColor="background1"/>
              </w:rPr>
            </w:pPr>
            <w:r>
              <w:rPr>
                <w:color w:val="FFFFFF" w:themeColor="background1"/>
              </w:rPr>
              <w:t>Lead Agency/</w:t>
            </w:r>
            <w:proofErr w:type="spellStart"/>
            <w:r>
              <w:rPr>
                <w:color w:val="FFFFFF" w:themeColor="background1"/>
              </w:rPr>
              <w:t>ies</w:t>
            </w:r>
            <w:proofErr w:type="spellEnd"/>
          </w:p>
        </w:tc>
      </w:tr>
      <w:tr w:rsidR="003D7263" w14:paraId="75869C4B" w14:textId="77777777" w:rsidTr="00831983">
        <w:tc>
          <w:tcPr>
            <w:tcW w:w="2335" w:type="dxa"/>
          </w:tcPr>
          <w:p w14:paraId="19377E23" w14:textId="4A338101" w:rsidR="003D7263" w:rsidRDefault="004F6275" w:rsidP="00811E2A">
            <w:pPr>
              <w:pStyle w:val="NoSpacing"/>
            </w:pPr>
            <w:r w:rsidRPr="004F6275">
              <w:t>a. Number and percentage of SEA victims/ survivors/ complainants who have been promptly referred to quality and gender/ age responsive assistance, as part of ongoing GBV and CP programming.</w:t>
            </w:r>
          </w:p>
        </w:tc>
        <w:tc>
          <w:tcPr>
            <w:tcW w:w="2508" w:type="dxa"/>
          </w:tcPr>
          <w:p w14:paraId="00EEC47C" w14:textId="2D8EF6B9" w:rsidR="003D7263" w:rsidRDefault="004F6275" w:rsidP="00811E2A">
            <w:pPr>
              <w:pStyle w:val="NoSpacing"/>
            </w:pPr>
            <w:r w:rsidRPr="004F6275">
              <w:t xml:space="preserve">100% of victims/survivors are referred for assistance and </w:t>
            </w:r>
            <w:r w:rsidR="7BE73358">
              <w:t>receive</w:t>
            </w:r>
            <w:r w:rsidRPr="004F6275">
              <w:t xml:space="preserve"> support within 72 hours and assistance until the case is closed.</w:t>
            </w:r>
          </w:p>
        </w:tc>
        <w:tc>
          <w:tcPr>
            <w:tcW w:w="4872" w:type="dxa"/>
          </w:tcPr>
          <w:p w14:paraId="62F46C43" w14:textId="356B47C0" w:rsidR="003D7263" w:rsidRDefault="00713775" w:rsidP="00811E2A">
            <w:pPr>
              <w:pStyle w:val="NoSpacing"/>
            </w:pPr>
            <w:r>
              <w:t xml:space="preserve">• </w:t>
            </w:r>
            <w:r w:rsidR="0001055C" w:rsidRPr="0001055C">
              <w:t xml:space="preserve">1 </w:t>
            </w:r>
            <w:r w:rsidR="003907A2">
              <w:t xml:space="preserve">full </w:t>
            </w:r>
            <w:r w:rsidR="0001055C" w:rsidRPr="0001055C">
              <w:t xml:space="preserve">day </w:t>
            </w:r>
            <w:r w:rsidR="00F6322C">
              <w:t xml:space="preserve">ToT </w:t>
            </w:r>
            <w:r w:rsidR="0001055C" w:rsidRPr="0001055C">
              <w:t>on the operationalization and integration of the Victims</w:t>
            </w:r>
            <w:r w:rsidR="0001055C">
              <w:t xml:space="preserve"> </w:t>
            </w:r>
            <w:r w:rsidR="0001055C" w:rsidRPr="0001055C">
              <w:t xml:space="preserve">Survivor and Assistance Protocol in GBV and CP </w:t>
            </w:r>
            <w:r w:rsidR="00F6322C">
              <w:t>(</w:t>
            </w:r>
            <w:r w:rsidR="00F95F65">
              <w:t>20 UN</w:t>
            </w:r>
            <w:r w:rsidR="0001055C" w:rsidRPr="0001055C">
              <w:t xml:space="preserve"> PSEA FP</w:t>
            </w:r>
            <w:r w:rsidR="0001055C">
              <w:t>s</w:t>
            </w:r>
            <w:r w:rsidR="00B53A8F">
              <w:t xml:space="preserve"> and/or its direct concerned partners/service providers)</w:t>
            </w:r>
          </w:p>
        </w:tc>
        <w:tc>
          <w:tcPr>
            <w:tcW w:w="1170" w:type="dxa"/>
          </w:tcPr>
          <w:p w14:paraId="55EA2E6A" w14:textId="3776751A" w:rsidR="003D7263" w:rsidRDefault="0001055C" w:rsidP="00811E2A">
            <w:pPr>
              <w:pStyle w:val="NoSpacing"/>
            </w:pPr>
            <w:r>
              <w:t>Q1</w:t>
            </w:r>
          </w:p>
        </w:tc>
        <w:tc>
          <w:tcPr>
            <w:tcW w:w="1620" w:type="dxa"/>
          </w:tcPr>
          <w:p w14:paraId="14038947" w14:textId="4C072FDC" w:rsidR="003D7263" w:rsidRDefault="0001055C" w:rsidP="00811E2A">
            <w:pPr>
              <w:pStyle w:val="NoSpacing"/>
            </w:pPr>
            <w:r w:rsidRPr="0001055C">
              <w:t>Internal resources</w:t>
            </w:r>
            <w:r>
              <w:t xml:space="preserve"> </w:t>
            </w:r>
            <w:r w:rsidRPr="0001055C">
              <w:t>(PSEA Network)</w:t>
            </w:r>
          </w:p>
        </w:tc>
        <w:tc>
          <w:tcPr>
            <w:tcW w:w="1975" w:type="dxa"/>
          </w:tcPr>
          <w:p w14:paraId="66B62A6E" w14:textId="468600C9" w:rsidR="003D7263" w:rsidRDefault="0001055C" w:rsidP="00811E2A">
            <w:pPr>
              <w:spacing w:after="160" w:line="259" w:lineRule="auto"/>
            </w:pPr>
            <w:r w:rsidRPr="0001055C">
              <w:t>UNFPA</w:t>
            </w:r>
            <w:r w:rsidR="009D61D0">
              <w:t>, UNICEF</w:t>
            </w:r>
          </w:p>
        </w:tc>
      </w:tr>
      <w:tr w:rsidR="003D7263" w14:paraId="606CACC0" w14:textId="77777777" w:rsidTr="00831983">
        <w:tc>
          <w:tcPr>
            <w:tcW w:w="2335" w:type="dxa"/>
          </w:tcPr>
          <w:p w14:paraId="4826DD63" w14:textId="66F62D34" w:rsidR="003D7263" w:rsidRPr="00C64691" w:rsidRDefault="004F6275" w:rsidP="00811E2A">
            <w:pPr>
              <w:pStyle w:val="NoSpacing"/>
            </w:pPr>
            <w:r>
              <w:lastRenderedPageBreak/>
              <w:t xml:space="preserve">b. </w:t>
            </w:r>
            <w:r w:rsidRPr="004F6275">
              <w:t>PSEA Network have in place prompt referral pathways to qualified service providers for victim/survivor assistance, as part of an integrated approach with GBV or CP services</w:t>
            </w:r>
          </w:p>
        </w:tc>
        <w:tc>
          <w:tcPr>
            <w:tcW w:w="2508" w:type="dxa"/>
          </w:tcPr>
          <w:p w14:paraId="1607E76C" w14:textId="211A7687" w:rsidR="003D7263" w:rsidRDefault="0019630D" w:rsidP="00811E2A">
            <w:pPr>
              <w:pStyle w:val="NoSpacing"/>
            </w:pPr>
            <w:r w:rsidRPr="0019630D">
              <w:t>All UNCT PSEA FPs are aware of internal resources (budget and service providers) available for SEA victims’ (to appropriately support the victim with needed services when the alleged perpetrator is personnel of their UN organization</w:t>
            </w:r>
            <w:r>
              <w:t>)</w:t>
            </w:r>
          </w:p>
        </w:tc>
        <w:tc>
          <w:tcPr>
            <w:tcW w:w="4872" w:type="dxa"/>
          </w:tcPr>
          <w:p w14:paraId="3CA905FC" w14:textId="078EF3D7" w:rsidR="003D7263" w:rsidRDefault="00713775" w:rsidP="00811E2A">
            <w:pPr>
              <w:pStyle w:val="NoSpacing"/>
            </w:pPr>
            <w:r>
              <w:t xml:space="preserve">• </w:t>
            </w:r>
            <w:r w:rsidR="0019630D" w:rsidRPr="0019630D">
              <w:t>Regular training to GBV/CP case managers (UN partners) on the specificities of victims of SEA, their needs (internally resourced) through partners, or through the GBV/CP sub-cluster</w:t>
            </w:r>
          </w:p>
        </w:tc>
        <w:tc>
          <w:tcPr>
            <w:tcW w:w="1170" w:type="dxa"/>
          </w:tcPr>
          <w:p w14:paraId="3B575895" w14:textId="34682346" w:rsidR="003D7263" w:rsidRDefault="0019630D" w:rsidP="00811E2A">
            <w:pPr>
              <w:pStyle w:val="NoSpacing"/>
            </w:pPr>
            <w:r>
              <w:t>All year</w:t>
            </w:r>
          </w:p>
        </w:tc>
        <w:tc>
          <w:tcPr>
            <w:tcW w:w="1620" w:type="dxa"/>
          </w:tcPr>
          <w:p w14:paraId="20EE2346" w14:textId="76D43153" w:rsidR="003D7263" w:rsidRDefault="0019630D" w:rsidP="00811E2A">
            <w:pPr>
              <w:pStyle w:val="NoSpacing"/>
            </w:pPr>
            <w:r>
              <w:t>Internal Resources</w:t>
            </w:r>
          </w:p>
        </w:tc>
        <w:tc>
          <w:tcPr>
            <w:tcW w:w="1975" w:type="dxa"/>
          </w:tcPr>
          <w:p w14:paraId="7D2A7237" w14:textId="3EE8CE76" w:rsidR="003D7263" w:rsidRDefault="0019630D" w:rsidP="00811E2A">
            <w:r>
              <w:t>UNFPA, UNICEF</w:t>
            </w:r>
          </w:p>
        </w:tc>
      </w:tr>
      <w:tr w:rsidR="0019630D" w14:paraId="138BF6A0" w14:textId="77777777" w:rsidTr="00831983">
        <w:tc>
          <w:tcPr>
            <w:tcW w:w="2335" w:type="dxa"/>
          </w:tcPr>
          <w:p w14:paraId="331A95E2" w14:textId="77777777" w:rsidR="0019630D" w:rsidRDefault="0019630D" w:rsidP="0019630D">
            <w:pPr>
              <w:pStyle w:val="NoSpacing"/>
            </w:pPr>
          </w:p>
        </w:tc>
        <w:tc>
          <w:tcPr>
            <w:tcW w:w="2508" w:type="dxa"/>
          </w:tcPr>
          <w:p w14:paraId="1DF4DA24" w14:textId="014086A8" w:rsidR="0019630D" w:rsidRPr="0019630D" w:rsidRDefault="0019630D" w:rsidP="0019630D">
            <w:pPr>
              <w:pStyle w:val="NoSpacing"/>
            </w:pPr>
            <w:r w:rsidRPr="0019630D">
              <w:t>GBV and CP referral pathways with qualified services provided for assistance are available and accessible to SEA victims/survivors.</w:t>
            </w:r>
          </w:p>
        </w:tc>
        <w:tc>
          <w:tcPr>
            <w:tcW w:w="4872" w:type="dxa"/>
          </w:tcPr>
          <w:p w14:paraId="55616527" w14:textId="122D4385" w:rsidR="0019630D" w:rsidRPr="0019630D" w:rsidRDefault="00713775" w:rsidP="0019630D">
            <w:pPr>
              <w:pStyle w:val="NoSpacing"/>
            </w:pPr>
            <w:r>
              <w:t xml:space="preserve">• </w:t>
            </w:r>
            <w:r w:rsidR="0019630D" w:rsidRPr="0019630D">
              <w:t>PSEA network regularly coordinates with the UNFPA led GBV Sub-cluster and the UNICEF CP sub-cluster to ensure available quality and accessible services up to date.</w:t>
            </w:r>
          </w:p>
        </w:tc>
        <w:tc>
          <w:tcPr>
            <w:tcW w:w="1170" w:type="dxa"/>
          </w:tcPr>
          <w:p w14:paraId="14726D5A" w14:textId="186DD5F3" w:rsidR="0019630D" w:rsidRDefault="0019630D" w:rsidP="0019630D">
            <w:pPr>
              <w:pStyle w:val="NoSpacing"/>
            </w:pPr>
            <w:r>
              <w:t>All year</w:t>
            </w:r>
          </w:p>
        </w:tc>
        <w:tc>
          <w:tcPr>
            <w:tcW w:w="1620" w:type="dxa"/>
          </w:tcPr>
          <w:p w14:paraId="04D9C38E" w14:textId="48B57F5A" w:rsidR="0019630D" w:rsidRDefault="0019630D" w:rsidP="0019630D">
            <w:pPr>
              <w:pStyle w:val="NoSpacing"/>
            </w:pPr>
            <w:r>
              <w:t>Internal Resources</w:t>
            </w:r>
          </w:p>
        </w:tc>
        <w:tc>
          <w:tcPr>
            <w:tcW w:w="1975" w:type="dxa"/>
          </w:tcPr>
          <w:p w14:paraId="312FD85B" w14:textId="34A7EFF8" w:rsidR="0019630D" w:rsidRDefault="0019630D" w:rsidP="0019630D">
            <w:r w:rsidRPr="0019630D">
              <w:t>PSEA Network, UNFPA, UNICEF</w:t>
            </w:r>
          </w:p>
        </w:tc>
      </w:tr>
      <w:tr w:rsidR="0019630D" w14:paraId="57463910" w14:textId="77777777" w:rsidTr="00831983">
        <w:tc>
          <w:tcPr>
            <w:tcW w:w="2335" w:type="dxa"/>
          </w:tcPr>
          <w:p w14:paraId="4908EE40" w14:textId="53D3E500" w:rsidR="0019630D" w:rsidRDefault="0019630D" w:rsidP="0019630D">
            <w:pPr>
              <w:pStyle w:val="NoSpacing"/>
            </w:pPr>
            <w:r>
              <w:t>c</w:t>
            </w:r>
            <w:r w:rsidRPr="004F6275">
              <w:t>. The UNCT has dedicated resources dedicated to victim assistance and support at the UNCT level</w:t>
            </w:r>
          </w:p>
        </w:tc>
        <w:tc>
          <w:tcPr>
            <w:tcW w:w="2508" w:type="dxa"/>
          </w:tcPr>
          <w:p w14:paraId="76A8F373" w14:textId="13CB584A" w:rsidR="0019630D" w:rsidRDefault="0019630D" w:rsidP="0019630D">
            <w:pPr>
              <w:pStyle w:val="NoSpacing"/>
            </w:pPr>
            <w:r w:rsidRPr="0019630D">
              <w:t>At least one agency of the UNCT has submitted a proposal to contribute toward a pooled contingency fund or the UN Trust Fund (SEA) to sustain resources for support and assistance</w:t>
            </w:r>
          </w:p>
        </w:tc>
        <w:tc>
          <w:tcPr>
            <w:tcW w:w="4872" w:type="dxa"/>
          </w:tcPr>
          <w:p w14:paraId="4A9079B0" w14:textId="6D83F292" w:rsidR="0019630D" w:rsidRDefault="00713775" w:rsidP="0019630D">
            <w:pPr>
              <w:pStyle w:val="NoSpacing"/>
            </w:pPr>
            <w:r>
              <w:t xml:space="preserve">• </w:t>
            </w:r>
            <w:r w:rsidR="0019630D" w:rsidRPr="0019630D">
              <w:t>UNCT FPs are aware of the UN Trust Fund (SEA) through the PSEA Network coordinator and submit proposals for services or awareness raising to increase reporting (i.e. strengthen SEA referrals) or awareness raising</w:t>
            </w:r>
          </w:p>
        </w:tc>
        <w:tc>
          <w:tcPr>
            <w:tcW w:w="1170" w:type="dxa"/>
          </w:tcPr>
          <w:p w14:paraId="239938F8" w14:textId="69C33429" w:rsidR="0019630D" w:rsidRDefault="0019630D" w:rsidP="0019630D">
            <w:pPr>
              <w:pStyle w:val="NoSpacing"/>
            </w:pPr>
            <w:r>
              <w:t>All year</w:t>
            </w:r>
          </w:p>
        </w:tc>
        <w:tc>
          <w:tcPr>
            <w:tcW w:w="1620" w:type="dxa"/>
          </w:tcPr>
          <w:p w14:paraId="482B4860" w14:textId="00B4EE6D" w:rsidR="0019630D" w:rsidRDefault="0019630D" w:rsidP="0019630D">
            <w:pPr>
              <w:pStyle w:val="NoSpacing"/>
            </w:pPr>
            <w:r>
              <w:t>Internal Resources</w:t>
            </w:r>
          </w:p>
        </w:tc>
        <w:tc>
          <w:tcPr>
            <w:tcW w:w="1975" w:type="dxa"/>
          </w:tcPr>
          <w:p w14:paraId="3F847340" w14:textId="26DFC7E6" w:rsidR="0019630D" w:rsidRDefault="0019630D" w:rsidP="0019630D">
            <w:r w:rsidRPr="0019630D">
              <w:t>UNCT /PSEA Network FPs</w:t>
            </w:r>
          </w:p>
        </w:tc>
      </w:tr>
    </w:tbl>
    <w:p w14:paraId="14DA4D8A" w14:textId="77777777" w:rsidR="001A196F" w:rsidRDefault="001A196F" w:rsidP="005D177C">
      <w:pPr>
        <w:pStyle w:val="NoSpacing"/>
      </w:pPr>
    </w:p>
    <w:p w14:paraId="68444DE4" w14:textId="77777777" w:rsidR="00BF5CB0" w:rsidRDefault="00BF5CB0" w:rsidP="005D177C">
      <w:pPr>
        <w:pStyle w:val="NoSpacing"/>
      </w:pPr>
    </w:p>
    <w:p w14:paraId="1B7F06A9" w14:textId="5543A007" w:rsidR="0019630D" w:rsidRPr="0015389E" w:rsidRDefault="0019630D" w:rsidP="0019630D">
      <w:pPr>
        <w:pStyle w:val="NoSpacing"/>
        <w:rPr>
          <w:b/>
          <w:bCs/>
          <w:color w:val="002060"/>
          <w:sz w:val="28"/>
          <w:szCs w:val="28"/>
        </w:rPr>
      </w:pPr>
      <w:r w:rsidRPr="0015389E">
        <w:rPr>
          <w:b/>
          <w:bCs/>
          <w:color w:val="002060"/>
          <w:sz w:val="28"/>
          <w:szCs w:val="28"/>
        </w:rPr>
        <w:t xml:space="preserve">Outcome Area </w:t>
      </w:r>
      <w:r>
        <w:rPr>
          <w:b/>
          <w:bCs/>
          <w:color w:val="002060"/>
          <w:sz w:val="28"/>
          <w:szCs w:val="28"/>
        </w:rPr>
        <w:t>4</w:t>
      </w:r>
      <w:r w:rsidRPr="0015389E">
        <w:rPr>
          <w:b/>
          <w:bCs/>
          <w:color w:val="002060"/>
          <w:sz w:val="28"/>
          <w:szCs w:val="28"/>
        </w:rPr>
        <w:t xml:space="preserve"> –</w:t>
      </w:r>
      <w:r>
        <w:rPr>
          <w:b/>
          <w:bCs/>
          <w:color w:val="002060"/>
          <w:sz w:val="28"/>
          <w:szCs w:val="28"/>
        </w:rPr>
        <w:t xml:space="preserve"> </w:t>
      </w:r>
      <w:r w:rsidRPr="0019630D">
        <w:rPr>
          <w:b/>
          <w:bCs/>
          <w:color w:val="002060"/>
          <w:sz w:val="28"/>
          <w:szCs w:val="28"/>
        </w:rPr>
        <w:t>Accountability and investigations</w:t>
      </w:r>
    </w:p>
    <w:p w14:paraId="732F4EB8" w14:textId="6526AF9C" w:rsidR="0019630D" w:rsidRDefault="0019630D" w:rsidP="001A3153">
      <w:pPr>
        <w:spacing w:after="0"/>
        <w:rPr>
          <w:b/>
          <w:bCs/>
          <w:color w:val="002060"/>
        </w:rPr>
      </w:pPr>
      <w:r w:rsidRPr="001A3153">
        <w:rPr>
          <w:b/>
          <w:bCs/>
          <w:color w:val="002060"/>
        </w:rPr>
        <w:t>Outcome statement 4. Every SEA victim, who gives their informed consent will have their case investigated in a prompt and safe way taking into account their rights and interests in accordance with due process principles.</w:t>
      </w:r>
    </w:p>
    <w:p w14:paraId="0244A815" w14:textId="77777777" w:rsidR="001A3153" w:rsidRPr="001A3153" w:rsidRDefault="001A3153" w:rsidP="001A3153">
      <w:pPr>
        <w:spacing w:after="0"/>
        <w:rPr>
          <w:b/>
          <w:bCs/>
          <w:color w:val="002060"/>
        </w:rPr>
      </w:pPr>
    </w:p>
    <w:p w14:paraId="78EBDF91" w14:textId="06D031AB" w:rsidR="0019630D" w:rsidRPr="00D24FF3" w:rsidRDefault="0019630D" w:rsidP="0019630D">
      <w:pPr>
        <w:pStyle w:val="NoSpacing"/>
        <w:rPr>
          <w:b/>
          <w:bCs/>
        </w:rPr>
      </w:pPr>
      <w:r w:rsidRPr="00D24FF3">
        <w:rPr>
          <w:b/>
          <w:bCs/>
        </w:rPr>
        <w:t xml:space="preserve">Output </w:t>
      </w:r>
      <w:r w:rsidR="00DE4822">
        <w:rPr>
          <w:b/>
          <w:bCs/>
        </w:rPr>
        <w:t>4</w:t>
      </w:r>
      <w:r>
        <w:rPr>
          <w:b/>
          <w:bCs/>
        </w:rPr>
        <w:t xml:space="preserve">.1 </w:t>
      </w:r>
      <w:r w:rsidR="00AA4F26" w:rsidRPr="00AA4F26">
        <w:rPr>
          <w:b/>
          <w:bCs/>
        </w:rPr>
        <w:t>Protocols/guidelines and SOPs for prompt, safe and victim/survivor-centered assistance during investigations are in place at the country-level</w:t>
      </w:r>
      <w:r w:rsidR="00AA4F26">
        <w:rPr>
          <w:b/>
          <w:bCs/>
        </w:rPr>
        <w:t>.</w:t>
      </w:r>
    </w:p>
    <w:tbl>
      <w:tblPr>
        <w:tblStyle w:val="TableGrid"/>
        <w:tblW w:w="0" w:type="auto"/>
        <w:tblCellMar>
          <w:left w:w="72" w:type="dxa"/>
          <w:right w:w="72" w:type="dxa"/>
        </w:tblCellMar>
        <w:tblLook w:val="04A0" w:firstRow="1" w:lastRow="0" w:firstColumn="1" w:lastColumn="0" w:noHBand="0" w:noVBand="1"/>
      </w:tblPr>
      <w:tblGrid>
        <w:gridCol w:w="2335"/>
        <w:gridCol w:w="2508"/>
        <w:gridCol w:w="4872"/>
        <w:gridCol w:w="1170"/>
        <w:gridCol w:w="1620"/>
        <w:gridCol w:w="1975"/>
      </w:tblGrid>
      <w:tr w:rsidR="0019630D" w:rsidRPr="00D24FF3" w14:paraId="2DFB6FC2" w14:textId="77777777" w:rsidTr="00831983">
        <w:trPr>
          <w:tblHeader/>
        </w:trPr>
        <w:tc>
          <w:tcPr>
            <w:tcW w:w="2335" w:type="dxa"/>
            <w:shd w:val="clear" w:color="auto" w:fill="4472C4" w:themeFill="accent1"/>
          </w:tcPr>
          <w:p w14:paraId="0BECA382" w14:textId="77777777" w:rsidR="0019630D" w:rsidRPr="00D24FF3" w:rsidRDefault="0019630D" w:rsidP="00811E2A">
            <w:pPr>
              <w:pStyle w:val="NoSpacing"/>
              <w:rPr>
                <w:color w:val="FFFFFF" w:themeColor="background1"/>
              </w:rPr>
            </w:pPr>
            <w:r>
              <w:rPr>
                <w:color w:val="FFFFFF" w:themeColor="background1"/>
              </w:rPr>
              <w:t>Indicator</w:t>
            </w:r>
          </w:p>
        </w:tc>
        <w:tc>
          <w:tcPr>
            <w:tcW w:w="2508" w:type="dxa"/>
            <w:shd w:val="clear" w:color="auto" w:fill="4472C4" w:themeFill="accent1"/>
          </w:tcPr>
          <w:p w14:paraId="10496003" w14:textId="77777777" w:rsidR="0019630D" w:rsidRPr="00D24FF3" w:rsidRDefault="0019630D" w:rsidP="00811E2A">
            <w:pPr>
              <w:pStyle w:val="NoSpacing"/>
              <w:rPr>
                <w:color w:val="FFFFFF" w:themeColor="background1"/>
              </w:rPr>
            </w:pPr>
            <w:r>
              <w:rPr>
                <w:color w:val="FFFFFF" w:themeColor="background1"/>
              </w:rPr>
              <w:t>Target/Benchmark</w:t>
            </w:r>
          </w:p>
        </w:tc>
        <w:tc>
          <w:tcPr>
            <w:tcW w:w="4872" w:type="dxa"/>
            <w:shd w:val="clear" w:color="auto" w:fill="4472C4" w:themeFill="accent1"/>
          </w:tcPr>
          <w:p w14:paraId="69F505E4" w14:textId="77777777" w:rsidR="0019630D" w:rsidRPr="00D24FF3" w:rsidRDefault="0019630D" w:rsidP="00811E2A">
            <w:pPr>
              <w:pStyle w:val="NoSpacing"/>
              <w:rPr>
                <w:color w:val="FFFFFF" w:themeColor="background1"/>
              </w:rPr>
            </w:pPr>
            <w:r>
              <w:rPr>
                <w:color w:val="FFFFFF" w:themeColor="background1"/>
              </w:rPr>
              <w:t>Key Action</w:t>
            </w:r>
          </w:p>
        </w:tc>
        <w:tc>
          <w:tcPr>
            <w:tcW w:w="1170" w:type="dxa"/>
            <w:shd w:val="clear" w:color="auto" w:fill="4472C4" w:themeFill="accent1"/>
          </w:tcPr>
          <w:p w14:paraId="77EFDB82" w14:textId="77777777" w:rsidR="0019630D" w:rsidRPr="00D24FF3" w:rsidRDefault="0019630D" w:rsidP="00811E2A">
            <w:pPr>
              <w:pStyle w:val="NoSpacing"/>
              <w:rPr>
                <w:color w:val="FFFFFF" w:themeColor="background1"/>
              </w:rPr>
            </w:pPr>
            <w:r>
              <w:rPr>
                <w:color w:val="FFFFFF" w:themeColor="background1"/>
              </w:rPr>
              <w:t>Timeframe</w:t>
            </w:r>
          </w:p>
        </w:tc>
        <w:tc>
          <w:tcPr>
            <w:tcW w:w="1620" w:type="dxa"/>
            <w:shd w:val="clear" w:color="auto" w:fill="4472C4" w:themeFill="accent1"/>
          </w:tcPr>
          <w:p w14:paraId="47C508B5" w14:textId="77777777" w:rsidR="0019630D" w:rsidRPr="00D24FF3" w:rsidRDefault="0019630D" w:rsidP="00811E2A">
            <w:pPr>
              <w:pStyle w:val="NoSpacing"/>
              <w:rPr>
                <w:color w:val="FFFFFF" w:themeColor="background1"/>
              </w:rPr>
            </w:pPr>
            <w:r>
              <w:rPr>
                <w:color w:val="FFFFFF" w:themeColor="background1"/>
              </w:rPr>
              <w:t>Budget/Funding</w:t>
            </w:r>
          </w:p>
        </w:tc>
        <w:tc>
          <w:tcPr>
            <w:tcW w:w="1975" w:type="dxa"/>
            <w:shd w:val="clear" w:color="auto" w:fill="4472C4" w:themeFill="accent1"/>
          </w:tcPr>
          <w:p w14:paraId="6CEBD29B" w14:textId="77777777" w:rsidR="0019630D" w:rsidRPr="00D24FF3" w:rsidRDefault="0019630D" w:rsidP="00811E2A">
            <w:pPr>
              <w:pStyle w:val="NoSpacing"/>
              <w:rPr>
                <w:color w:val="FFFFFF" w:themeColor="background1"/>
              </w:rPr>
            </w:pPr>
            <w:r>
              <w:rPr>
                <w:color w:val="FFFFFF" w:themeColor="background1"/>
              </w:rPr>
              <w:t>Lead Agency/</w:t>
            </w:r>
            <w:proofErr w:type="spellStart"/>
            <w:r>
              <w:rPr>
                <w:color w:val="FFFFFF" w:themeColor="background1"/>
              </w:rPr>
              <w:t>ies</w:t>
            </w:r>
            <w:proofErr w:type="spellEnd"/>
          </w:p>
        </w:tc>
      </w:tr>
      <w:tr w:rsidR="00F67A48" w14:paraId="3829DDC3" w14:textId="77777777" w:rsidTr="00831983">
        <w:tc>
          <w:tcPr>
            <w:tcW w:w="2335" w:type="dxa"/>
          </w:tcPr>
          <w:p w14:paraId="21FB2B3D" w14:textId="6BE48E22" w:rsidR="00F67A48" w:rsidRDefault="00F67A48" w:rsidP="00F67A48">
            <w:pPr>
              <w:pStyle w:val="NoSpacing"/>
            </w:pPr>
            <w:r w:rsidRPr="00F67A48">
              <w:t>a.</w:t>
            </w:r>
            <w:r>
              <w:t xml:space="preserve"> </w:t>
            </w:r>
            <w:r w:rsidRPr="00F67A48">
              <w:t>100% of UNCT PSEA FPs are aware of all UN protocols/</w:t>
            </w:r>
            <w:r>
              <w:t xml:space="preserve"> </w:t>
            </w:r>
            <w:r w:rsidRPr="00F67A48">
              <w:t>guidelines for prompt, safe and victim/</w:t>
            </w:r>
            <w:r>
              <w:t xml:space="preserve"> </w:t>
            </w:r>
            <w:r w:rsidRPr="00F67A48">
              <w:t xml:space="preserve">survivor </w:t>
            </w:r>
            <w:r w:rsidRPr="00F67A48">
              <w:lastRenderedPageBreak/>
              <w:t>centered assistance during investigations</w:t>
            </w:r>
          </w:p>
        </w:tc>
        <w:tc>
          <w:tcPr>
            <w:tcW w:w="2508" w:type="dxa"/>
          </w:tcPr>
          <w:p w14:paraId="3BB67AC2" w14:textId="444DE45D" w:rsidR="00F67A48" w:rsidRDefault="00F67A48" w:rsidP="00F67A48">
            <w:pPr>
              <w:pStyle w:val="NoSpacing"/>
            </w:pPr>
            <w:r w:rsidRPr="00F67A48">
              <w:lastRenderedPageBreak/>
              <w:t xml:space="preserve">All UNCT PSEA FPs can inform and/or support SEA victims/survivors promptly and appropriately in relevant accountability processes, </w:t>
            </w:r>
            <w:r w:rsidRPr="00F67A48">
              <w:lastRenderedPageBreak/>
              <w:t>with a victims centered approach, during investigations</w:t>
            </w:r>
          </w:p>
        </w:tc>
        <w:tc>
          <w:tcPr>
            <w:tcW w:w="4872" w:type="dxa"/>
          </w:tcPr>
          <w:p w14:paraId="629035C6" w14:textId="79FDC026" w:rsidR="00F67A48" w:rsidRDefault="00713775" w:rsidP="00F67A48">
            <w:pPr>
              <w:pStyle w:val="NoSpacing"/>
            </w:pPr>
            <w:r>
              <w:lastRenderedPageBreak/>
              <w:t xml:space="preserve">• </w:t>
            </w:r>
            <w:r w:rsidR="00F67A48" w:rsidRPr="00F67A48">
              <w:t xml:space="preserve">Knowledge management and dissemination of protocols and guidelines to ensure that all SG bulletins, guidelines and protocols are accessible to all UNCT PSEA FPs protocols/guidelines, including the Victims’ Centered Approach Principles (English, Ukrainian) </w:t>
            </w:r>
            <w:r w:rsidR="00F67A48">
              <w:t>on</w:t>
            </w:r>
            <w:r w:rsidR="00F67A48" w:rsidRPr="00F67A48">
              <w:t xml:space="preserve"> the PSEA webpage</w:t>
            </w:r>
          </w:p>
        </w:tc>
        <w:tc>
          <w:tcPr>
            <w:tcW w:w="1170" w:type="dxa"/>
          </w:tcPr>
          <w:p w14:paraId="516BC9D7" w14:textId="016F6FBB" w:rsidR="00F67A48" w:rsidRDefault="00F67A48" w:rsidP="00F67A48">
            <w:pPr>
              <w:pStyle w:val="NoSpacing"/>
            </w:pPr>
            <w:r>
              <w:t>All year</w:t>
            </w:r>
          </w:p>
        </w:tc>
        <w:tc>
          <w:tcPr>
            <w:tcW w:w="1620" w:type="dxa"/>
          </w:tcPr>
          <w:p w14:paraId="2F2B1FF0" w14:textId="2B1E0F09" w:rsidR="00F67A48" w:rsidRDefault="00F67A48" w:rsidP="00F67A48">
            <w:pPr>
              <w:pStyle w:val="NoSpacing"/>
            </w:pPr>
            <w:r>
              <w:t>Internal Resources</w:t>
            </w:r>
          </w:p>
        </w:tc>
        <w:tc>
          <w:tcPr>
            <w:tcW w:w="1975" w:type="dxa"/>
          </w:tcPr>
          <w:p w14:paraId="24750412" w14:textId="57E0EFC8" w:rsidR="00F67A48" w:rsidRDefault="00F67A48" w:rsidP="00F67A48">
            <w:pPr>
              <w:spacing w:after="160" w:line="259" w:lineRule="auto"/>
            </w:pPr>
            <w:r w:rsidRPr="0019630D">
              <w:t>PSEA Network</w:t>
            </w:r>
          </w:p>
        </w:tc>
      </w:tr>
      <w:tr w:rsidR="003B19D8" w14:paraId="159EA08E" w14:textId="77777777" w:rsidTr="00831983">
        <w:tc>
          <w:tcPr>
            <w:tcW w:w="2335" w:type="dxa"/>
          </w:tcPr>
          <w:p w14:paraId="361B6FB3" w14:textId="6349BBD3" w:rsidR="003B19D8" w:rsidRPr="00F67A48" w:rsidRDefault="003B19D8" w:rsidP="00F67A48">
            <w:pPr>
              <w:pStyle w:val="NoSpacing"/>
            </w:pPr>
            <w:r w:rsidRPr="003B19D8">
              <w:t>b.</w:t>
            </w:r>
            <w:r>
              <w:t xml:space="preserve"> </w:t>
            </w:r>
            <w:r w:rsidRPr="003B19D8">
              <w:t>All UNCT Country Representatives/CoM share appropriate information with the RC immediately when they become aware of an SEA allegation involving UN personnel where there is sufficient information to identify an act of SEA against an identifiable perpetrator or identifiable victim (UNCT SOPs on inter-agency referrals)</w:t>
            </w:r>
          </w:p>
        </w:tc>
        <w:tc>
          <w:tcPr>
            <w:tcW w:w="2508" w:type="dxa"/>
          </w:tcPr>
          <w:p w14:paraId="5598FCA5" w14:textId="1453D65F" w:rsidR="003B19D8" w:rsidRPr="00F67A48" w:rsidRDefault="003B19D8" w:rsidP="00F67A48">
            <w:pPr>
              <w:pStyle w:val="NoSpacing"/>
            </w:pPr>
            <w:r w:rsidRPr="003B19D8">
              <w:t>UNCT is aware of the 2023 UNCT SOPs on inter-agency referrals (endorsed by the UNCT) and shares SEA allegations with the RC within 72 hours</w:t>
            </w:r>
          </w:p>
        </w:tc>
        <w:tc>
          <w:tcPr>
            <w:tcW w:w="4872" w:type="dxa"/>
          </w:tcPr>
          <w:p w14:paraId="69211EE1" w14:textId="16C16E6A" w:rsidR="003B19D8" w:rsidRPr="00F67A48" w:rsidRDefault="00713775" w:rsidP="00F67A48">
            <w:pPr>
              <w:pStyle w:val="NoSpacing"/>
            </w:pPr>
            <w:r>
              <w:t xml:space="preserve">• </w:t>
            </w:r>
            <w:r w:rsidR="003B19D8" w:rsidRPr="003B19D8">
              <w:t>Designation letter of appointed PSEA FPs is circulated by all UNCT country representatives to inform all personnel about the designated PSEA FP to indicate the mandatory and promptly reporting through the principal PSEA FP or through them</w:t>
            </w:r>
          </w:p>
        </w:tc>
        <w:tc>
          <w:tcPr>
            <w:tcW w:w="1170" w:type="dxa"/>
          </w:tcPr>
          <w:p w14:paraId="36AA8EE2" w14:textId="258C275D" w:rsidR="003B19D8" w:rsidRDefault="003B19D8" w:rsidP="00F67A48">
            <w:pPr>
              <w:pStyle w:val="NoSpacing"/>
            </w:pPr>
            <w:r w:rsidRPr="003B19D8">
              <w:t>Quarterly, or when the PSEA FP has changed</w:t>
            </w:r>
          </w:p>
        </w:tc>
        <w:tc>
          <w:tcPr>
            <w:tcW w:w="1620" w:type="dxa"/>
          </w:tcPr>
          <w:p w14:paraId="48383238" w14:textId="70182E2F" w:rsidR="003B19D8" w:rsidRDefault="003B19D8" w:rsidP="00F67A48">
            <w:pPr>
              <w:pStyle w:val="NoSpacing"/>
            </w:pPr>
            <w:r>
              <w:t>Internal Resources</w:t>
            </w:r>
          </w:p>
        </w:tc>
        <w:tc>
          <w:tcPr>
            <w:tcW w:w="1975" w:type="dxa"/>
          </w:tcPr>
          <w:p w14:paraId="2EEB5813" w14:textId="60CE51C0" w:rsidR="003B19D8" w:rsidRPr="0019630D" w:rsidRDefault="003B19D8" w:rsidP="00F67A48">
            <w:r>
              <w:t>Each UN Agency</w:t>
            </w:r>
          </w:p>
        </w:tc>
      </w:tr>
    </w:tbl>
    <w:p w14:paraId="54E6E2D5" w14:textId="77777777" w:rsidR="00545080" w:rsidRDefault="00545080" w:rsidP="00545080">
      <w:pPr>
        <w:pStyle w:val="NoSpacing"/>
        <w:rPr>
          <w:b/>
          <w:bCs/>
        </w:rPr>
      </w:pPr>
    </w:p>
    <w:p w14:paraId="5462A82B" w14:textId="36AE39A9" w:rsidR="00545080" w:rsidRPr="00D24FF3" w:rsidRDefault="00545080" w:rsidP="00545080">
      <w:pPr>
        <w:pStyle w:val="NoSpacing"/>
        <w:rPr>
          <w:b/>
          <w:bCs/>
        </w:rPr>
      </w:pPr>
      <w:r w:rsidRPr="00D24FF3">
        <w:rPr>
          <w:b/>
          <w:bCs/>
        </w:rPr>
        <w:t xml:space="preserve">Output </w:t>
      </w:r>
      <w:r>
        <w:rPr>
          <w:b/>
          <w:bCs/>
        </w:rPr>
        <w:t>4.</w:t>
      </w:r>
      <w:r w:rsidRPr="00163617">
        <w:rPr>
          <w:b/>
          <w:bCs/>
        </w:rPr>
        <w:t>2 When working with UN funded partners (NGOs, contractors), adequate safeguards are in place and action is taken related to sexual exploitation and abuse – e.g., screening, cooperative arrangements, monitoring, and termination of arrangements</w:t>
      </w:r>
      <w:r>
        <w:rPr>
          <w:b/>
          <w:bCs/>
        </w:rPr>
        <w:t>.</w:t>
      </w:r>
    </w:p>
    <w:tbl>
      <w:tblPr>
        <w:tblStyle w:val="TableGrid"/>
        <w:tblW w:w="0" w:type="auto"/>
        <w:tblCellMar>
          <w:left w:w="72" w:type="dxa"/>
          <w:right w:w="72" w:type="dxa"/>
        </w:tblCellMar>
        <w:tblLook w:val="04A0" w:firstRow="1" w:lastRow="0" w:firstColumn="1" w:lastColumn="0" w:noHBand="0" w:noVBand="1"/>
      </w:tblPr>
      <w:tblGrid>
        <w:gridCol w:w="2335"/>
        <w:gridCol w:w="2508"/>
        <w:gridCol w:w="4872"/>
        <w:gridCol w:w="1170"/>
        <w:gridCol w:w="1620"/>
        <w:gridCol w:w="1975"/>
      </w:tblGrid>
      <w:tr w:rsidR="00545080" w:rsidRPr="00D24FF3" w14:paraId="66DB8848" w14:textId="77777777" w:rsidTr="00BE3A61">
        <w:trPr>
          <w:tblHeader/>
        </w:trPr>
        <w:tc>
          <w:tcPr>
            <w:tcW w:w="2335" w:type="dxa"/>
            <w:shd w:val="clear" w:color="auto" w:fill="4472C4" w:themeFill="accent1"/>
          </w:tcPr>
          <w:p w14:paraId="67DA5050" w14:textId="77777777" w:rsidR="00545080" w:rsidRPr="00D24FF3" w:rsidRDefault="00545080" w:rsidP="00BE3A61">
            <w:pPr>
              <w:pStyle w:val="NoSpacing"/>
              <w:rPr>
                <w:color w:val="FFFFFF" w:themeColor="background1"/>
              </w:rPr>
            </w:pPr>
            <w:r>
              <w:rPr>
                <w:color w:val="FFFFFF" w:themeColor="background1"/>
              </w:rPr>
              <w:t>Indicator</w:t>
            </w:r>
          </w:p>
        </w:tc>
        <w:tc>
          <w:tcPr>
            <w:tcW w:w="2508" w:type="dxa"/>
            <w:shd w:val="clear" w:color="auto" w:fill="4472C4" w:themeFill="accent1"/>
          </w:tcPr>
          <w:p w14:paraId="3D47ECF9" w14:textId="77777777" w:rsidR="00545080" w:rsidRPr="00D24FF3" w:rsidRDefault="00545080" w:rsidP="00BE3A61">
            <w:pPr>
              <w:pStyle w:val="NoSpacing"/>
              <w:rPr>
                <w:color w:val="FFFFFF" w:themeColor="background1"/>
              </w:rPr>
            </w:pPr>
            <w:r>
              <w:rPr>
                <w:color w:val="FFFFFF" w:themeColor="background1"/>
              </w:rPr>
              <w:t>Target/Benchmark</w:t>
            </w:r>
          </w:p>
        </w:tc>
        <w:tc>
          <w:tcPr>
            <w:tcW w:w="4872" w:type="dxa"/>
            <w:shd w:val="clear" w:color="auto" w:fill="4472C4" w:themeFill="accent1"/>
          </w:tcPr>
          <w:p w14:paraId="0B5AD31E" w14:textId="77777777" w:rsidR="00545080" w:rsidRPr="00D24FF3" w:rsidRDefault="00545080" w:rsidP="00BE3A61">
            <w:pPr>
              <w:pStyle w:val="NoSpacing"/>
              <w:rPr>
                <w:color w:val="FFFFFF" w:themeColor="background1"/>
              </w:rPr>
            </w:pPr>
            <w:r>
              <w:rPr>
                <w:color w:val="FFFFFF" w:themeColor="background1"/>
              </w:rPr>
              <w:t>Key Action</w:t>
            </w:r>
          </w:p>
        </w:tc>
        <w:tc>
          <w:tcPr>
            <w:tcW w:w="1170" w:type="dxa"/>
            <w:shd w:val="clear" w:color="auto" w:fill="4472C4" w:themeFill="accent1"/>
          </w:tcPr>
          <w:p w14:paraId="3661E464" w14:textId="77777777" w:rsidR="00545080" w:rsidRPr="00D24FF3" w:rsidRDefault="00545080" w:rsidP="00BE3A61">
            <w:pPr>
              <w:pStyle w:val="NoSpacing"/>
              <w:rPr>
                <w:color w:val="FFFFFF" w:themeColor="background1"/>
              </w:rPr>
            </w:pPr>
            <w:r>
              <w:rPr>
                <w:color w:val="FFFFFF" w:themeColor="background1"/>
              </w:rPr>
              <w:t>Timeframe</w:t>
            </w:r>
          </w:p>
        </w:tc>
        <w:tc>
          <w:tcPr>
            <w:tcW w:w="1620" w:type="dxa"/>
            <w:shd w:val="clear" w:color="auto" w:fill="4472C4" w:themeFill="accent1"/>
          </w:tcPr>
          <w:p w14:paraId="64839689" w14:textId="77777777" w:rsidR="00545080" w:rsidRPr="00D24FF3" w:rsidRDefault="00545080" w:rsidP="00BE3A61">
            <w:pPr>
              <w:pStyle w:val="NoSpacing"/>
              <w:rPr>
                <w:color w:val="FFFFFF" w:themeColor="background1"/>
              </w:rPr>
            </w:pPr>
            <w:r>
              <w:rPr>
                <w:color w:val="FFFFFF" w:themeColor="background1"/>
              </w:rPr>
              <w:t>Budget/Funding</w:t>
            </w:r>
          </w:p>
        </w:tc>
        <w:tc>
          <w:tcPr>
            <w:tcW w:w="1975" w:type="dxa"/>
            <w:shd w:val="clear" w:color="auto" w:fill="4472C4" w:themeFill="accent1"/>
          </w:tcPr>
          <w:p w14:paraId="2732E72E" w14:textId="77777777" w:rsidR="00545080" w:rsidRPr="00D24FF3" w:rsidRDefault="00545080" w:rsidP="00BE3A61">
            <w:pPr>
              <w:pStyle w:val="NoSpacing"/>
              <w:rPr>
                <w:color w:val="FFFFFF" w:themeColor="background1"/>
              </w:rPr>
            </w:pPr>
            <w:r>
              <w:rPr>
                <w:color w:val="FFFFFF" w:themeColor="background1"/>
              </w:rPr>
              <w:t>Lead Agency/</w:t>
            </w:r>
            <w:proofErr w:type="spellStart"/>
            <w:r>
              <w:rPr>
                <w:color w:val="FFFFFF" w:themeColor="background1"/>
              </w:rPr>
              <w:t>ies</w:t>
            </w:r>
            <w:proofErr w:type="spellEnd"/>
          </w:p>
        </w:tc>
      </w:tr>
      <w:tr w:rsidR="00545080" w14:paraId="71F8F2EF" w14:textId="77777777" w:rsidTr="00BE3A61">
        <w:tc>
          <w:tcPr>
            <w:tcW w:w="2335" w:type="dxa"/>
          </w:tcPr>
          <w:p w14:paraId="0F081152" w14:textId="77777777" w:rsidR="00545080" w:rsidRDefault="00545080" w:rsidP="00BE3A61">
            <w:pPr>
              <w:pStyle w:val="NoSpacing"/>
            </w:pPr>
            <w:r>
              <w:t>a. # of partner assessments conducted in accordance with 2018 UN Implementing Partner Capacity Assessment.</w:t>
            </w:r>
          </w:p>
          <w:p w14:paraId="438D1E20" w14:textId="77777777" w:rsidR="00545080" w:rsidRDefault="00545080" w:rsidP="00BE3A61">
            <w:pPr>
              <w:pStyle w:val="NoSpacing"/>
            </w:pPr>
          </w:p>
        </w:tc>
        <w:tc>
          <w:tcPr>
            <w:tcW w:w="2508" w:type="dxa"/>
          </w:tcPr>
          <w:p w14:paraId="17C99954" w14:textId="77777777" w:rsidR="00545080" w:rsidRDefault="00545080" w:rsidP="00BE3A61">
            <w:pPr>
              <w:pStyle w:val="NoSpacing"/>
            </w:pPr>
            <w:r w:rsidRPr="00AE020E">
              <w:t>All partners' capacity assessments in Ukraine completed for existing partners to ensure adequate safeguards in place.</w:t>
            </w:r>
          </w:p>
        </w:tc>
        <w:tc>
          <w:tcPr>
            <w:tcW w:w="4872" w:type="dxa"/>
          </w:tcPr>
          <w:p w14:paraId="2C0BEDFB" w14:textId="77777777" w:rsidR="00545080" w:rsidRDefault="00545080" w:rsidP="00BE3A61">
            <w:pPr>
              <w:pStyle w:val="NoSpacing"/>
            </w:pPr>
            <w:r>
              <w:t xml:space="preserve">• </w:t>
            </w:r>
            <w:r w:rsidRPr="00AE020E">
              <w:t>All UN agencies have completed capacity assessments of partners and followed up on partners with low/medium capacity before the end of 20243(before starting a partnership or renewing a contract)</w:t>
            </w:r>
          </w:p>
        </w:tc>
        <w:tc>
          <w:tcPr>
            <w:tcW w:w="1170" w:type="dxa"/>
          </w:tcPr>
          <w:p w14:paraId="60B56E14" w14:textId="77777777" w:rsidR="00545080" w:rsidRDefault="00545080" w:rsidP="00BE3A61">
            <w:pPr>
              <w:pStyle w:val="NoSpacing"/>
            </w:pPr>
            <w:r>
              <w:t>All year</w:t>
            </w:r>
          </w:p>
        </w:tc>
        <w:tc>
          <w:tcPr>
            <w:tcW w:w="1620" w:type="dxa"/>
          </w:tcPr>
          <w:p w14:paraId="2B4CE270" w14:textId="77777777" w:rsidR="00545080" w:rsidRDefault="00545080" w:rsidP="00BE3A61">
            <w:pPr>
              <w:pStyle w:val="NoSpacing"/>
            </w:pPr>
            <w:r>
              <w:t>Internal Resources</w:t>
            </w:r>
          </w:p>
        </w:tc>
        <w:tc>
          <w:tcPr>
            <w:tcW w:w="1975" w:type="dxa"/>
          </w:tcPr>
          <w:p w14:paraId="3F97AF1D" w14:textId="77777777" w:rsidR="00545080" w:rsidRDefault="00545080" w:rsidP="00BE3A61">
            <w:r>
              <w:t>Each UN Agency</w:t>
            </w:r>
          </w:p>
          <w:p w14:paraId="3925CFDD" w14:textId="77777777" w:rsidR="00545080" w:rsidRDefault="00545080" w:rsidP="00BE3A61">
            <w:r>
              <w:t>PSEA</w:t>
            </w:r>
          </w:p>
          <w:p w14:paraId="7AA43370" w14:textId="77777777" w:rsidR="00545080" w:rsidRDefault="00545080" w:rsidP="00BE3A61">
            <w:r>
              <w:t>Coordinator /IMO PSEA</w:t>
            </w:r>
          </w:p>
          <w:p w14:paraId="08564DF2" w14:textId="77777777" w:rsidR="00545080" w:rsidRDefault="00545080" w:rsidP="00BE3A61">
            <w:pPr>
              <w:spacing w:line="259" w:lineRule="auto"/>
            </w:pPr>
            <w:r>
              <w:t>Network to support</w:t>
            </w:r>
          </w:p>
        </w:tc>
      </w:tr>
      <w:tr w:rsidR="00545080" w14:paraId="20E61B33" w14:textId="77777777" w:rsidTr="00BE3A61">
        <w:tc>
          <w:tcPr>
            <w:tcW w:w="2335" w:type="dxa"/>
          </w:tcPr>
          <w:p w14:paraId="768CB99A" w14:textId="77777777" w:rsidR="00545080" w:rsidRDefault="00545080" w:rsidP="00BE3A61">
            <w:pPr>
              <w:pStyle w:val="NoSpacing"/>
            </w:pPr>
            <w:r>
              <w:t>b. # of capacity-building events conducted to support partners</w:t>
            </w:r>
          </w:p>
        </w:tc>
        <w:tc>
          <w:tcPr>
            <w:tcW w:w="2508" w:type="dxa"/>
          </w:tcPr>
          <w:p w14:paraId="0FB92FAD" w14:textId="77777777" w:rsidR="00545080" w:rsidRDefault="00545080" w:rsidP="00BE3A61">
            <w:pPr>
              <w:pStyle w:val="NoSpacing"/>
            </w:pPr>
            <w:r w:rsidRPr="00AE020E">
              <w:t>All partners' capacity assessments in Ukraine completed for existing partners to ensure adequate safeguards in place.</w:t>
            </w:r>
          </w:p>
        </w:tc>
        <w:tc>
          <w:tcPr>
            <w:tcW w:w="4872" w:type="dxa"/>
          </w:tcPr>
          <w:p w14:paraId="4E66B486" w14:textId="77777777" w:rsidR="00545080" w:rsidRDefault="00545080" w:rsidP="00BE3A61">
            <w:pPr>
              <w:pStyle w:val="NoSpacing"/>
            </w:pPr>
            <w:r>
              <w:t xml:space="preserve">• </w:t>
            </w:r>
            <w:r w:rsidRPr="00AE020E">
              <w:t>All UN agencies have completed capacity assessments of partners and followed up on partners with low/medium capacity before the end of 20243(before starting a partnership or renewing a contract)</w:t>
            </w:r>
          </w:p>
        </w:tc>
        <w:tc>
          <w:tcPr>
            <w:tcW w:w="1170" w:type="dxa"/>
          </w:tcPr>
          <w:p w14:paraId="552846C1" w14:textId="77777777" w:rsidR="00545080" w:rsidRDefault="00545080" w:rsidP="00BE3A61">
            <w:pPr>
              <w:pStyle w:val="NoSpacing"/>
            </w:pPr>
            <w:r>
              <w:t>All year</w:t>
            </w:r>
          </w:p>
        </w:tc>
        <w:tc>
          <w:tcPr>
            <w:tcW w:w="1620" w:type="dxa"/>
          </w:tcPr>
          <w:p w14:paraId="052F3E4C" w14:textId="77777777" w:rsidR="00545080" w:rsidRDefault="00545080" w:rsidP="00BE3A61">
            <w:pPr>
              <w:pStyle w:val="NoSpacing"/>
            </w:pPr>
            <w:r>
              <w:t>Internal Resources</w:t>
            </w:r>
          </w:p>
        </w:tc>
        <w:tc>
          <w:tcPr>
            <w:tcW w:w="1975" w:type="dxa"/>
          </w:tcPr>
          <w:p w14:paraId="00759778" w14:textId="77777777" w:rsidR="00545080" w:rsidRDefault="00545080" w:rsidP="00BE3A61">
            <w:r>
              <w:t>Each UN Agency</w:t>
            </w:r>
          </w:p>
          <w:p w14:paraId="3A40905D" w14:textId="77777777" w:rsidR="00545080" w:rsidRDefault="00545080" w:rsidP="00BE3A61">
            <w:r>
              <w:t>PSEA</w:t>
            </w:r>
          </w:p>
          <w:p w14:paraId="59EF1B59" w14:textId="77777777" w:rsidR="00545080" w:rsidRDefault="00545080" w:rsidP="00BE3A61">
            <w:r>
              <w:t>Coordinator /IMO PSEA</w:t>
            </w:r>
          </w:p>
          <w:p w14:paraId="44F90949" w14:textId="77777777" w:rsidR="00545080" w:rsidRDefault="00545080" w:rsidP="00BE3A61">
            <w:r>
              <w:t>Network to support</w:t>
            </w:r>
          </w:p>
        </w:tc>
      </w:tr>
    </w:tbl>
    <w:p w14:paraId="2B7B4519" w14:textId="77777777" w:rsidR="00E41922" w:rsidRDefault="00E41922">
      <w:r>
        <w:br w:type="page"/>
      </w:r>
    </w:p>
    <w:p w14:paraId="4C5532C6" w14:textId="77777777" w:rsidR="00163617" w:rsidRDefault="00163617" w:rsidP="005D177C">
      <w:pPr>
        <w:pStyle w:val="NoSpacing"/>
      </w:pPr>
    </w:p>
    <w:p w14:paraId="276FB67F" w14:textId="77777777" w:rsidR="00BF5CB0" w:rsidRDefault="00BF5CB0" w:rsidP="005D177C">
      <w:pPr>
        <w:pStyle w:val="NoSpacing"/>
      </w:pPr>
    </w:p>
    <w:p w14:paraId="070343B2" w14:textId="710B135F" w:rsidR="005D5943" w:rsidRPr="0015389E" w:rsidRDefault="005D5943" w:rsidP="005D5943">
      <w:pPr>
        <w:pStyle w:val="NoSpacing"/>
        <w:rPr>
          <w:b/>
          <w:bCs/>
          <w:color w:val="002060"/>
          <w:sz w:val="28"/>
          <w:szCs w:val="28"/>
        </w:rPr>
      </w:pPr>
      <w:r w:rsidRPr="0015389E">
        <w:rPr>
          <w:b/>
          <w:bCs/>
          <w:color w:val="002060"/>
          <w:sz w:val="28"/>
          <w:szCs w:val="28"/>
        </w:rPr>
        <w:t xml:space="preserve">Outcome Area </w:t>
      </w:r>
      <w:r>
        <w:rPr>
          <w:b/>
          <w:bCs/>
          <w:color w:val="002060"/>
          <w:sz w:val="28"/>
          <w:szCs w:val="28"/>
        </w:rPr>
        <w:t>5</w:t>
      </w:r>
      <w:r w:rsidRPr="0015389E">
        <w:rPr>
          <w:b/>
          <w:bCs/>
          <w:color w:val="002060"/>
          <w:sz w:val="28"/>
          <w:szCs w:val="28"/>
        </w:rPr>
        <w:t xml:space="preserve"> –</w:t>
      </w:r>
      <w:r>
        <w:rPr>
          <w:b/>
          <w:bCs/>
          <w:color w:val="002060"/>
          <w:sz w:val="28"/>
          <w:szCs w:val="28"/>
        </w:rPr>
        <w:t xml:space="preserve"> </w:t>
      </w:r>
      <w:r w:rsidRPr="005D5943">
        <w:rPr>
          <w:b/>
          <w:bCs/>
          <w:color w:val="002060"/>
          <w:sz w:val="28"/>
          <w:szCs w:val="28"/>
        </w:rPr>
        <w:t>PSEA inter-agency country-level structure</w:t>
      </w:r>
    </w:p>
    <w:p w14:paraId="2348C933" w14:textId="4ACF5E4E" w:rsidR="005D5943" w:rsidRDefault="005D5943" w:rsidP="001A3153">
      <w:pPr>
        <w:spacing w:after="0"/>
        <w:rPr>
          <w:b/>
          <w:bCs/>
          <w:color w:val="002060"/>
        </w:rPr>
      </w:pPr>
      <w:r w:rsidRPr="001A3153">
        <w:rPr>
          <w:b/>
          <w:bCs/>
          <w:color w:val="002060"/>
        </w:rPr>
        <w:t>Outcome statement 5. An inclusive and efficient political and technical PSEA inter-agency country-level structure is in place.</w:t>
      </w:r>
    </w:p>
    <w:p w14:paraId="6F944E10" w14:textId="77777777" w:rsidR="001A3153" w:rsidRPr="001A3153" w:rsidRDefault="001A3153" w:rsidP="001A3153">
      <w:pPr>
        <w:spacing w:after="0"/>
        <w:rPr>
          <w:b/>
          <w:bCs/>
          <w:color w:val="002060"/>
        </w:rPr>
      </w:pPr>
    </w:p>
    <w:p w14:paraId="3A5B7295" w14:textId="63D47476" w:rsidR="005D5943" w:rsidRPr="00D24FF3" w:rsidRDefault="005D5943" w:rsidP="005D5943">
      <w:pPr>
        <w:pStyle w:val="NoSpacing"/>
        <w:rPr>
          <w:b/>
          <w:bCs/>
        </w:rPr>
      </w:pPr>
      <w:r w:rsidRPr="00D24FF3">
        <w:rPr>
          <w:b/>
          <w:bCs/>
        </w:rPr>
        <w:t xml:space="preserve">Output </w:t>
      </w:r>
      <w:r w:rsidRPr="005D5943">
        <w:rPr>
          <w:b/>
          <w:bCs/>
        </w:rPr>
        <w:t xml:space="preserve">5.1 The RC is ultimately responsible for ensuring a PSEA country </w:t>
      </w:r>
      <w:r w:rsidR="002A351F" w:rsidRPr="005D5943">
        <w:rPr>
          <w:b/>
          <w:bCs/>
        </w:rPr>
        <w:t>structure,</w:t>
      </w:r>
      <w:r w:rsidRPr="005D5943">
        <w:rPr>
          <w:b/>
          <w:bCs/>
        </w:rPr>
        <w:t xml:space="preserve"> action plan to </w:t>
      </w:r>
      <w:r w:rsidR="00314C54" w:rsidRPr="005D5943">
        <w:rPr>
          <w:b/>
          <w:bCs/>
        </w:rPr>
        <w:t>operationalize</w:t>
      </w:r>
      <w:r w:rsidRPr="005D5943">
        <w:rPr>
          <w:b/>
          <w:bCs/>
        </w:rPr>
        <w:t xml:space="preserve"> PSEA related Management Accountability Framework obligations, IASC Commitments and Minimum Operational Standards</w:t>
      </w:r>
      <w:r w:rsidR="00314C54">
        <w:rPr>
          <w:b/>
          <w:bCs/>
        </w:rPr>
        <w:t>.</w:t>
      </w:r>
    </w:p>
    <w:tbl>
      <w:tblPr>
        <w:tblStyle w:val="TableGrid"/>
        <w:tblW w:w="0" w:type="auto"/>
        <w:tblCellMar>
          <w:left w:w="72" w:type="dxa"/>
          <w:right w:w="72" w:type="dxa"/>
        </w:tblCellMar>
        <w:tblLook w:val="04A0" w:firstRow="1" w:lastRow="0" w:firstColumn="1" w:lastColumn="0" w:noHBand="0" w:noVBand="1"/>
      </w:tblPr>
      <w:tblGrid>
        <w:gridCol w:w="2335"/>
        <w:gridCol w:w="2508"/>
        <w:gridCol w:w="4872"/>
        <w:gridCol w:w="1170"/>
        <w:gridCol w:w="1620"/>
        <w:gridCol w:w="1975"/>
      </w:tblGrid>
      <w:tr w:rsidR="005D5943" w:rsidRPr="00D24FF3" w14:paraId="7044A757" w14:textId="77777777" w:rsidTr="00831983">
        <w:trPr>
          <w:tblHeader/>
        </w:trPr>
        <w:tc>
          <w:tcPr>
            <w:tcW w:w="2335" w:type="dxa"/>
            <w:shd w:val="clear" w:color="auto" w:fill="4472C4" w:themeFill="accent1"/>
          </w:tcPr>
          <w:p w14:paraId="61479BCA" w14:textId="77777777" w:rsidR="005D5943" w:rsidRPr="00D24FF3" w:rsidRDefault="005D5943" w:rsidP="00811E2A">
            <w:pPr>
              <w:pStyle w:val="NoSpacing"/>
              <w:rPr>
                <w:color w:val="FFFFFF" w:themeColor="background1"/>
              </w:rPr>
            </w:pPr>
            <w:r>
              <w:rPr>
                <w:color w:val="FFFFFF" w:themeColor="background1"/>
              </w:rPr>
              <w:t>Indicator</w:t>
            </w:r>
          </w:p>
        </w:tc>
        <w:tc>
          <w:tcPr>
            <w:tcW w:w="2508" w:type="dxa"/>
            <w:shd w:val="clear" w:color="auto" w:fill="4472C4" w:themeFill="accent1"/>
          </w:tcPr>
          <w:p w14:paraId="1330702C" w14:textId="77777777" w:rsidR="005D5943" w:rsidRPr="00D24FF3" w:rsidRDefault="005D5943" w:rsidP="00811E2A">
            <w:pPr>
              <w:pStyle w:val="NoSpacing"/>
              <w:rPr>
                <w:color w:val="FFFFFF" w:themeColor="background1"/>
              </w:rPr>
            </w:pPr>
            <w:r>
              <w:rPr>
                <w:color w:val="FFFFFF" w:themeColor="background1"/>
              </w:rPr>
              <w:t>Target/Benchmark</w:t>
            </w:r>
          </w:p>
        </w:tc>
        <w:tc>
          <w:tcPr>
            <w:tcW w:w="4872" w:type="dxa"/>
            <w:shd w:val="clear" w:color="auto" w:fill="4472C4" w:themeFill="accent1"/>
          </w:tcPr>
          <w:p w14:paraId="444C0F04" w14:textId="77777777" w:rsidR="005D5943" w:rsidRPr="00D24FF3" w:rsidRDefault="005D5943" w:rsidP="00811E2A">
            <w:pPr>
              <w:pStyle w:val="NoSpacing"/>
              <w:rPr>
                <w:color w:val="FFFFFF" w:themeColor="background1"/>
              </w:rPr>
            </w:pPr>
            <w:r>
              <w:rPr>
                <w:color w:val="FFFFFF" w:themeColor="background1"/>
              </w:rPr>
              <w:t>Key Action</w:t>
            </w:r>
          </w:p>
        </w:tc>
        <w:tc>
          <w:tcPr>
            <w:tcW w:w="1170" w:type="dxa"/>
            <w:shd w:val="clear" w:color="auto" w:fill="4472C4" w:themeFill="accent1"/>
          </w:tcPr>
          <w:p w14:paraId="34E8EDC9" w14:textId="77777777" w:rsidR="005D5943" w:rsidRPr="00D24FF3" w:rsidRDefault="005D5943" w:rsidP="00811E2A">
            <w:pPr>
              <w:pStyle w:val="NoSpacing"/>
              <w:rPr>
                <w:color w:val="FFFFFF" w:themeColor="background1"/>
              </w:rPr>
            </w:pPr>
            <w:r>
              <w:rPr>
                <w:color w:val="FFFFFF" w:themeColor="background1"/>
              </w:rPr>
              <w:t>Timeframe</w:t>
            </w:r>
          </w:p>
        </w:tc>
        <w:tc>
          <w:tcPr>
            <w:tcW w:w="1620" w:type="dxa"/>
            <w:shd w:val="clear" w:color="auto" w:fill="4472C4" w:themeFill="accent1"/>
          </w:tcPr>
          <w:p w14:paraId="66F70FFC" w14:textId="77777777" w:rsidR="005D5943" w:rsidRPr="00D24FF3" w:rsidRDefault="005D5943" w:rsidP="00811E2A">
            <w:pPr>
              <w:pStyle w:val="NoSpacing"/>
              <w:rPr>
                <w:color w:val="FFFFFF" w:themeColor="background1"/>
              </w:rPr>
            </w:pPr>
            <w:r>
              <w:rPr>
                <w:color w:val="FFFFFF" w:themeColor="background1"/>
              </w:rPr>
              <w:t>Budget/Funding</w:t>
            </w:r>
          </w:p>
        </w:tc>
        <w:tc>
          <w:tcPr>
            <w:tcW w:w="1975" w:type="dxa"/>
            <w:shd w:val="clear" w:color="auto" w:fill="4472C4" w:themeFill="accent1"/>
          </w:tcPr>
          <w:p w14:paraId="2F2D19D4" w14:textId="77777777" w:rsidR="005D5943" w:rsidRPr="00D24FF3" w:rsidRDefault="005D5943" w:rsidP="00811E2A">
            <w:pPr>
              <w:pStyle w:val="NoSpacing"/>
              <w:rPr>
                <w:color w:val="FFFFFF" w:themeColor="background1"/>
              </w:rPr>
            </w:pPr>
            <w:r>
              <w:rPr>
                <w:color w:val="FFFFFF" w:themeColor="background1"/>
              </w:rPr>
              <w:t>Lead Agency/</w:t>
            </w:r>
            <w:proofErr w:type="spellStart"/>
            <w:r>
              <w:rPr>
                <w:color w:val="FFFFFF" w:themeColor="background1"/>
              </w:rPr>
              <w:t>ies</w:t>
            </w:r>
            <w:proofErr w:type="spellEnd"/>
          </w:p>
        </w:tc>
      </w:tr>
      <w:tr w:rsidR="002E7AEA" w14:paraId="14BFF81F" w14:textId="77777777" w:rsidTr="00831983">
        <w:tc>
          <w:tcPr>
            <w:tcW w:w="2335" w:type="dxa"/>
          </w:tcPr>
          <w:p w14:paraId="14D49FD5" w14:textId="778A41D0" w:rsidR="002E7AEA" w:rsidRDefault="002E7AEA" w:rsidP="002E7AEA">
            <w:pPr>
              <w:pStyle w:val="NoSpacing"/>
            </w:pPr>
            <w:r w:rsidRPr="002D0A23">
              <w:t>a. The role of the Resident Coordinator as PSEA lead is clear to all PSEA stakeholders</w:t>
            </w:r>
          </w:p>
        </w:tc>
        <w:tc>
          <w:tcPr>
            <w:tcW w:w="2508" w:type="dxa"/>
          </w:tcPr>
          <w:p w14:paraId="3C045F28" w14:textId="47D49D3B" w:rsidR="002E7AEA" w:rsidRDefault="002E7AEA" w:rsidP="002E7AEA">
            <w:pPr>
              <w:pStyle w:val="NoSpacing"/>
            </w:pPr>
            <w:r w:rsidRPr="002E7AEA">
              <w:t>The RC ensures that there is a PSEA political and technical structure in place</w:t>
            </w:r>
          </w:p>
        </w:tc>
        <w:tc>
          <w:tcPr>
            <w:tcW w:w="4872" w:type="dxa"/>
          </w:tcPr>
          <w:p w14:paraId="0EC364E4" w14:textId="4F839DA0" w:rsidR="002E7AEA" w:rsidRDefault="002E7AEA" w:rsidP="002E7AEA">
            <w:pPr>
              <w:pStyle w:val="NoSpacing"/>
            </w:pPr>
            <w:r w:rsidRPr="002E7AEA">
              <w:t>• The RC will lead the PSEA Steering Committee, meeting on a quarterly basis and will update the UNCT based on the progress of the PSEA Network</w:t>
            </w:r>
          </w:p>
        </w:tc>
        <w:tc>
          <w:tcPr>
            <w:tcW w:w="1170" w:type="dxa"/>
          </w:tcPr>
          <w:p w14:paraId="79022CC2" w14:textId="62ADC0D3" w:rsidR="002E7AEA" w:rsidRDefault="002E7AEA" w:rsidP="002E7AEA">
            <w:pPr>
              <w:pStyle w:val="NoSpacing"/>
            </w:pPr>
            <w:r w:rsidRPr="006E4C5C">
              <w:t>All year</w:t>
            </w:r>
          </w:p>
        </w:tc>
        <w:tc>
          <w:tcPr>
            <w:tcW w:w="1620" w:type="dxa"/>
          </w:tcPr>
          <w:p w14:paraId="637BF593" w14:textId="67A9ABC5" w:rsidR="002E7AEA" w:rsidRDefault="002E7AEA" w:rsidP="002E7AEA">
            <w:pPr>
              <w:pStyle w:val="NoSpacing"/>
            </w:pPr>
            <w:r>
              <w:t>N/A</w:t>
            </w:r>
          </w:p>
        </w:tc>
        <w:tc>
          <w:tcPr>
            <w:tcW w:w="1975" w:type="dxa"/>
          </w:tcPr>
          <w:p w14:paraId="25890635" w14:textId="18AF7F9E" w:rsidR="002E7AEA" w:rsidRDefault="002E7AEA" w:rsidP="002E7AEA">
            <w:pPr>
              <w:spacing w:after="160" w:line="259" w:lineRule="auto"/>
            </w:pPr>
            <w:r>
              <w:t>RCO</w:t>
            </w:r>
          </w:p>
        </w:tc>
      </w:tr>
      <w:tr w:rsidR="00C759FE" w14:paraId="394E44AC" w14:textId="77777777" w:rsidTr="00831983">
        <w:tc>
          <w:tcPr>
            <w:tcW w:w="2335" w:type="dxa"/>
          </w:tcPr>
          <w:p w14:paraId="427E9FC6" w14:textId="1BD134E5" w:rsidR="00C759FE" w:rsidRPr="002D0A23" w:rsidRDefault="00C759FE" w:rsidP="00C759FE">
            <w:pPr>
              <w:pStyle w:val="NoSpacing"/>
            </w:pPr>
            <w:r w:rsidRPr="002D0A23">
              <w:t>b.</w:t>
            </w:r>
            <w:r>
              <w:t xml:space="preserve"> </w:t>
            </w:r>
            <w:r w:rsidRPr="002D0A23">
              <w:t>The RC takes an active lead on PSEA and provides strategic guidance</w:t>
            </w:r>
          </w:p>
        </w:tc>
        <w:tc>
          <w:tcPr>
            <w:tcW w:w="2508" w:type="dxa"/>
          </w:tcPr>
          <w:p w14:paraId="0EC457C2" w14:textId="29F5541E" w:rsidR="00C759FE" w:rsidRDefault="00C759FE" w:rsidP="00C759FE">
            <w:pPr>
              <w:pStyle w:val="NoSpacing"/>
            </w:pPr>
            <w:r w:rsidRPr="00C759FE">
              <w:t>Senior management steering committee supporting the PSEA Network set up and meeting regularly</w:t>
            </w:r>
          </w:p>
        </w:tc>
        <w:tc>
          <w:tcPr>
            <w:tcW w:w="4872" w:type="dxa"/>
          </w:tcPr>
          <w:p w14:paraId="1D676560" w14:textId="31231769" w:rsidR="00C759FE" w:rsidRDefault="00C759FE" w:rsidP="00C759FE">
            <w:pPr>
              <w:pStyle w:val="NoSpacing"/>
            </w:pPr>
            <w:r w:rsidRPr="00C759FE">
              <w:t>• UNCT includes quarterly sessions on PSEA and/or to endorse UNCT PSEA related policy</w:t>
            </w:r>
          </w:p>
        </w:tc>
        <w:tc>
          <w:tcPr>
            <w:tcW w:w="1170" w:type="dxa"/>
          </w:tcPr>
          <w:p w14:paraId="22A8DAAF" w14:textId="1E072D8F" w:rsidR="00C759FE" w:rsidRDefault="00C759FE" w:rsidP="00C759FE">
            <w:pPr>
              <w:pStyle w:val="NoSpacing"/>
            </w:pPr>
            <w:r w:rsidRPr="006E4C5C">
              <w:t>All year</w:t>
            </w:r>
          </w:p>
        </w:tc>
        <w:tc>
          <w:tcPr>
            <w:tcW w:w="1620" w:type="dxa"/>
          </w:tcPr>
          <w:p w14:paraId="42DA3800" w14:textId="146B93FA" w:rsidR="00C759FE" w:rsidRDefault="00C759FE" w:rsidP="00C759FE">
            <w:pPr>
              <w:pStyle w:val="NoSpacing"/>
            </w:pPr>
            <w:r>
              <w:t>N/A</w:t>
            </w:r>
          </w:p>
        </w:tc>
        <w:tc>
          <w:tcPr>
            <w:tcW w:w="1975" w:type="dxa"/>
          </w:tcPr>
          <w:p w14:paraId="48A33C54" w14:textId="7E18AD2A" w:rsidR="00C759FE" w:rsidRDefault="00C759FE" w:rsidP="00C759FE">
            <w:r>
              <w:t>RCO</w:t>
            </w:r>
          </w:p>
        </w:tc>
      </w:tr>
      <w:tr w:rsidR="002D0A23" w14:paraId="096AA0C1" w14:textId="77777777" w:rsidTr="00831983">
        <w:tc>
          <w:tcPr>
            <w:tcW w:w="2335" w:type="dxa"/>
          </w:tcPr>
          <w:p w14:paraId="0F943CFF" w14:textId="5174783C" w:rsidR="002D0A23" w:rsidRPr="002D0A23" w:rsidRDefault="002D0A23" w:rsidP="004947E7">
            <w:pPr>
              <w:spacing w:after="160" w:line="259" w:lineRule="auto"/>
            </w:pPr>
            <w:r>
              <w:t>c</w:t>
            </w:r>
            <w:r w:rsidRPr="002D0A23">
              <w:t>. 2024 UNCT PSEA Action Plan has been developed, consulted and adopted by the UNCT</w:t>
            </w:r>
          </w:p>
        </w:tc>
        <w:tc>
          <w:tcPr>
            <w:tcW w:w="2508" w:type="dxa"/>
          </w:tcPr>
          <w:p w14:paraId="44F4B883" w14:textId="15307065" w:rsidR="002D0A23" w:rsidRDefault="002B3C5D" w:rsidP="00811E2A">
            <w:pPr>
              <w:pStyle w:val="NoSpacing"/>
            </w:pPr>
            <w:r w:rsidRPr="002B3C5D">
              <w:t>UNCT Action is endorsed in January and adjusted as necessary</w:t>
            </w:r>
          </w:p>
        </w:tc>
        <w:tc>
          <w:tcPr>
            <w:tcW w:w="4872" w:type="dxa"/>
          </w:tcPr>
          <w:p w14:paraId="7B574411" w14:textId="0C563E84" w:rsidR="002D0A23" w:rsidRDefault="002B3C5D" w:rsidP="00811E2A">
            <w:pPr>
              <w:pStyle w:val="NoSpacing"/>
            </w:pPr>
            <w:r w:rsidRPr="002B3C5D">
              <w:t>• UNCT PSEA Inter-Agency Action Plan for the UN entities developed, revised, and endorsed by the UNCT</w:t>
            </w:r>
          </w:p>
        </w:tc>
        <w:tc>
          <w:tcPr>
            <w:tcW w:w="1170" w:type="dxa"/>
          </w:tcPr>
          <w:p w14:paraId="5DDB2F25" w14:textId="6782F54B" w:rsidR="002D0A23" w:rsidRDefault="002B3C5D" w:rsidP="00811E2A">
            <w:pPr>
              <w:pStyle w:val="NoSpacing"/>
            </w:pPr>
            <w:r>
              <w:t>Q1</w:t>
            </w:r>
          </w:p>
        </w:tc>
        <w:tc>
          <w:tcPr>
            <w:tcW w:w="1620" w:type="dxa"/>
          </w:tcPr>
          <w:p w14:paraId="3CAC78BB" w14:textId="774C8B62" w:rsidR="002D0A23" w:rsidRDefault="002B3C5D" w:rsidP="00811E2A">
            <w:pPr>
              <w:pStyle w:val="NoSpacing"/>
            </w:pPr>
            <w:r>
              <w:t>N/A</w:t>
            </w:r>
          </w:p>
        </w:tc>
        <w:tc>
          <w:tcPr>
            <w:tcW w:w="1975" w:type="dxa"/>
          </w:tcPr>
          <w:p w14:paraId="3FA0730D" w14:textId="645B919C" w:rsidR="002D0A23" w:rsidRDefault="002B3C5D" w:rsidP="00811E2A">
            <w:r>
              <w:t>RCO</w:t>
            </w:r>
          </w:p>
        </w:tc>
      </w:tr>
      <w:tr w:rsidR="002D0A23" w14:paraId="24AC2319" w14:textId="77777777" w:rsidTr="00831983">
        <w:tc>
          <w:tcPr>
            <w:tcW w:w="2335" w:type="dxa"/>
          </w:tcPr>
          <w:p w14:paraId="2139BDA3" w14:textId="1D61F158" w:rsidR="002D0A23" w:rsidRDefault="002D0A23" w:rsidP="004947E7">
            <w:pPr>
              <w:spacing w:after="160" w:line="259" w:lineRule="auto"/>
            </w:pPr>
            <w:r>
              <w:t>d</w:t>
            </w:r>
            <w:r w:rsidRPr="002D0A23">
              <w:t xml:space="preserve">. Interagency </w:t>
            </w:r>
            <w:r>
              <w:t xml:space="preserve">SEA </w:t>
            </w:r>
            <w:r w:rsidRPr="002D0A23">
              <w:t>reporting mechanisms cover all regions, oblasts in Ukraine</w:t>
            </w:r>
          </w:p>
        </w:tc>
        <w:tc>
          <w:tcPr>
            <w:tcW w:w="2508" w:type="dxa"/>
          </w:tcPr>
          <w:p w14:paraId="3F2CE317" w14:textId="1116497F" w:rsidR="002D0A23" w:rsidRDefault="002B3C5D" w:rsidP="00811E2A">
            <w:pPr>
              <w:pStyle w:val="NoSpacing"/>
            </w:pPr>
            <w:r w:rsidRPr="002B3C5D">
              <w:t>UN agencies will support complaints feedback mechanisms and/or the setup of CBCMs with operational or economic resources in high risk areas (based on risk assessments)</w:t>
            </w:r>
          </w:p>
        </w:tc>
        <w:tc>
          <w:tcPr>
            <w:tcW w:w="4872" w:type="dxa"/>
          </w:tcPr>
          <w:p w14:paraId="3810D122" w14:textId="2F0AA506" w:rsidR="002D0A23" w:rsidRDefault="002B3C5D" w:rsidP="00811E2A">
            <w:pPr>
              <w:pStyle w:val="NoSpacing"/>
            </w:pPr>
            <w:r w:rsidRPr="002B3C5D">
              <w:t>• Mapping of existing helplines, complaints mechanisms in all areas or facilities under UN Projects</w:t>
            </w:r>
          </w:p>
        </w:tc>
        <w:tc>
          <w:tcPr>
            <w:tcW w:w="1170" w:type="dxa"/>
          </w:tcPr>
          <w:p w14:paraId="7833CEC7" w14:textId="37A64B96" w:rsidR="002D0A23" w:rsidRDefault="002B3C5D" w:rsidP="00811E2A">
            <w:pPr>
              <w:pStyle w:val="NoSpacing"/>
            </w:pPr>
            <w:r>
              <w:t>Q1, Q3</w:t>
            </w:r>
          </w:p>
        </w:tc>
        <w:tc>
          <w:tcPr>
            <w:tcW w:w="1620" w:type="dxa"/>
          </w:tcPr>
          <w:p w14:paraId="7690A8CB" w14:textId="72C403C1" w:rsidR="002D0A23" w:rsidRDefault="002B3C5D" w:rsidP="00811E2A">
            <w:pPr>
              <w:pStyle w:val="NoSpacing"/>
            </w:pPr>
            <w:r>
              <w:t>N/A</w:t>
            </w:r>
          </w:p>
        </w:tc>
        <w:tc>
          <w:tcPr>
            <w:tcW w:w="1975" w:type="dxa"/>
          </w:tcPr>
          <w:p w14:paraId="26A8615E" w14:textId="5E0C4D3D" w:rsidR="002D0A23" w:rsidRDefault="002B3C5D" w:rsidP="00811E2A">
            <w:r>
              <w:t>Each UN Agency</w:t>
            </w:r>
          </w:p>
        </w:tc>
      </w:tr>
      <w:tr w:rsidR="00241C69" w14:paraId="5BA429DC" w14:textId="77777777" w:rsidTr="00831983">
        <w:tc>
          <w:tcPr>
            <w:tcW w:w="2335" w:type="dxa"/>
          </w:tcPr>
          <w:p w14:paraId="7DAC83A0" w14:textId="24C3BC17" w:rsidR="00241C69" w:rsidRDefault="00241C69" w:rsidP="00241C69">
            <w:r>
              <w:t xml:space="preserve">e. All UN agencies meet required minimum standards such as the Minimum Operation Standards (MoS) and Core Humanitarian Standards (CHS) PSEA Index to enable </w:t>
            </w:r>
            <w:r>
              <w:lastRenderedPageBreak/>
              <w:t>appropriate complaints receipt and handling of allegations of</w:t>
            </w:r>
            <w:r w:rsidR="00EB08A9">
              <w:t xml:space="preserve"> </w:t>
            </w:r>
            <w:r>
              <w:t xml:space="preserve">SEA </w:t>
            </w:r>
          </w:p>
        </w:tc>
        <w:tc>
          <w:tcPr>
            <w:tcW w:w="2508" w:type="dxa"/>
          </w:tcPr>
          <w:p w14:paraId="5E4295BF" w14:textId="20513307" w:rsidR="00241C69" w:rsidRDefault="00241C69" w:rsidP="00241C69">
            <w:pPr>
              <w:pStyle w:val="NoSpacing"/>
            </w:pPr>
            <w:r w:rsidRPr="00AC1F5A">
              <w:lastRenderedPageBreak/>
              <w:t>100% of the UNCT meets the standards</w:t>
            </w:r>
          </w:p>
        </w:tc>
        <w:tc>
          <w:tcPr>
            <w:tcW w:w="4872" w:type="dxa"/>
          </w:tcPr>
          <w:p w14:paraId="3B77ADB5" w14:textId="6D3B69E9" w:rsidR="00241C69" w:rsidRDefault="00241C69" w:rsidP="00241C69">
            <w:pPr>
              <w:pStyle w:val="NoSpacing"/>
            </w:pPr>
            <w:r w:rsidRPr="00AC1F5A">
              <w:t>• A survey developed and shared to obtain a baseline to enable follow up and prioritization and report progress</w:t>
            </w:r>
          </w:p>
        </w:tc>
        <w:tc>
          <w:tcPr>
            <w:tcW w:w="1170" w:type="dxa"/>
          </w:tcPr>
          <w:p w14:paraId="794FD31D" w14:textId="077937DB" w:rsidR="00241C69" w:rsidRDefault="00241C69" w:rsidP="00241C69">
            <w:pPr>
              <w:pStyle w:val="NoSpacing"/>
            </w:pPr>
            <w:r>
              <w:t>Q1</w:t>
            </w:r>
          </w:p>
        </w:tc>
        <w:tc>
          <w:tcPr>
            <w:tcW w:w="1620" w:type="dxa"/>
          </w:tcPr>
          <w:p w14:paraId="066301FD" w14:textId="50608D39" w:rsidR="00241C69" w:rsidRDefault="00241C69" w:rsidP="00241C69">
            <w:pPr>
              <w:pStyle w:val="NoSpacing"/>
            </w:pPr>
            <w:r>
              <w:t>N/A</w:t>
            </w:r>
          </w:p>
        </w:tc>
        <w:tc>
          <w:tcPr>
            <w:tcW w:w="1975" w:type="dxa"/>
          </w:tcPr>
          <w:p w14:paraId="1F500388" w14:textId="6835AA1F" w:rsidR="00241C69" w:rsidRDefault="00241C69" w:rsidP="00241C69">
            <w:r>
              <w:t>RCO, PSEA Coordinator</w:t>
            </w:r>
          </w:p>
        </w:tc>
      </w:tr>
    </w:tbl>
    <w:p w14:paraId="5625E65C" w14:textId="77777777" w:rsidR="005D5943" w:rsidRDefault="005D5943" w:rsidP="005D177C">
      <w:pPr>
        <w:pStyle w:val="NoSpacing"/>
      </w:pPr>
    </w:p>
    <w:p w14:paraId="06556D4C" w14:textId="50B38480" w:rsidR="002A351F" w:rsidRPr="00D24FF3" w:rsidRDefault="002A351F" w:rsidP="002A351F">
      <w:pPr>
        <w:pStyle w:val="NoSpacing"/>
        <w:rPr>
          <w:b/>
          <w:bCs/>
        </w:rPr>
      </w:pPr>
      <w:r w:rsidRPr="00D24FF3">
        <w:rPr>
          <w:b/>
          <w:bCs/>
        </w:rPr>
        <w:t xml:space="preserve">Output </w:t>
      </w:r>
      <w:r w:rsidRPr="005D5943">
        <w:rPr>
          <w:b/>
          <w:bCs/>
        </w:rPr>
        <w:t>5.</w:t>
      </w:r>
      <w:r w:rsidRPr="002A351F">
        <w:t xml:space="preserve"> </w:t>
      </w:r>
      <w:r>
        <w:rPr>
          <w:b/>
          <w:bCs/>
        </w:rPr>
        <w:t xml:space="preserve">2 </w:t>
      </w:r>
      <w:r w:rsidRPr="002A351F">
        <w:rPr>
          <w:b/>
          <w:bCs/>
        </w:rPr>
        <w:t>A full-time Snr. PSEA advisor and interagency Coordinator is in place, directly reporting to the RC</w:t>
      </w:r>
    </w:p>
    <w:tbl>
      <w:tblPr>
        <w:tblStyle w:val="TableGrid"/>
        <w:tblW w:w="0" w:type="auto"/>
        <w:tblCellMar>
          <w:left w:w="72" w:type="dxa"/>
          <w:right w:w="72" w:type="dxa"/>
        </w:tblCellMar>
        <w:tblLook w:val="04A0" w:firstRow="1" w:lastRow="0" w:firstColumn="1" w:lastColumn="0" w:noHBand="0" w:noVBand="1"/>
      </w:tblPr>
      <w:tblGrid>
        <w:gridCol w:w="2335"/>
        <w:gridCol w:w="2508"/>
        <w:gridCol w:w="4872"/>
        <w:gridCol w:w="1170"/>
        <w:gridCol w:w="1620"/>
        <w:gridCol w:w="1975"/>
      </w:tblGrid>
      <w:tr w:rsidR="002A351F" w:rsidRPr="00D24FF3" w14:paraId="70DF406F" w14:textId="77777777" w:rsidTr="00831983">
        <w:trPr>
          <w:tblHeader/>
        </w:trPr>
        <w:tc>
          <w:tcPr>
            <w:tcW w:w="2335" w:type="dxa"/>
            <w:shd w:val="clear" w:color="auto" w:fill="4472C4" w:themeFill="accent1"/>
          </w:tcPr>
          <w:p w14:paraId="68D9FB06" w14:textId="77777777" w:rsidR="002A351F" w:rsidRPr="00D24FF3" w:rsidRDefault="002A351F" w:rsidP="00811E2A">
            <w:pPr>
              <w:pStyle w:val="NoSpacing"/>
              <w:rPr>
                <w:color w:val="FFFFFF" w:themeColor="background1"/>
              </w:rPr>
            </w:pPr>
            <w:r>
              <w:rPr>
                <w:color w:val="FFFFFF" w:themeColor="background1"/>
              </w:rPr>
              <w:t>Indicator</w:t>
            </w:r>
          </w:p>
        </w:tc>
        <w:tc>
          <w:tcPr>
            <w:tcW w:w="2508" w:type="dxa"/>
            <w:shd w:val="clear" w:color="auto" w:fill="4472C4" w:themeFill="accent1"/>
          </w:tcPr>
          <w:p w14:paraId="0D7FFD09" w14:textId="77777777" w:rsidR="002A351F" w:rsidRPr="00D24FF3" w:rsidRDefault="002A351F" w:rsidP="00811E2A">
            <w:pPr>
              <w:pStyle w:val="NoSpacing"/>
              <w:rPr>
                <w:color w:val="FFFFFF" w:themeColor="background1"/>
              </w:rPr>
            </w:pPr>
            <w:r>
              <w:rPr>
                <w:color w:val="FFFFFF" w:themeColor="background1"/>
              </w:rPr>
              <w:t>Target/Benchmark</w:t>
            </w:r>
          </w:p>
        </w:tc>
        <w:tc>
          <w:tcPr>
            <w:tcW w:w="4872" w:type="dxa"/>
            <w:shd w:val="clear" w:color="auto" w:fill="4472C4" w:themeFill="accent1"/>
          </w:tcPr>
          <w:p w14:paraId="021AEC4F" w14:textId="77777777" w:rsidR="002A351F" w:rsidRPr="00D24FF3" w:rsidRDefault="002A351F" w:rsidP="00811E2A">
            <w:pPr>
              <w:pStyle w:val="NoSpacing"/>
              <w:rPr>
                <w:color w:val="FFFFFF" w:themeColor="background1"/>
              </w:rPr>
            </w:pPr>
            <w:r>
              <w:rPr>
                <w:color w:val="FFFFFF" w:themeColor="background1"/>
              </w:rPr>
              <w:t>Key Action</w:t>
            </w:r>
          </w:p>
        </w:tc>
        <w:tc>
          <w:tcPr>
            <w:tcW w:w="1170" w:type="dxa"/>
            <w:shd w:val="clear" w:color="auto" w:fill="4472C4" w:themeFill="accent1"/>
          </w:tcPr>
          <w:p w14:paraId="5DE8425A" w14:textId="77777777" w:rsidR="002A351F" w:rsidRPr="00D24FF3" w:rsidRDefault="002A351F" w:rsidP="00811E2A">
            <w:pPr>
              <w:pStyle w:val="NoSpacing"/>
              <w:rPr>
                <w:color w:val="FFFFFF" w:themeColor="background1"/>
              </w:rPr>
            </w:pPr>
            <w:r>
              <w:rPr>
                <w:color w:val="FFFFFF" w:themeColor="background1"/>
              </w:rPr>
              <w:t>Timeframe</w:t>
            </w:r>
          </w:p>
        </w:tc>
        <w:tc>
          <w:tcPr>
            <w:tcW w:w="1620" w:type="dxa"/>
            <w:shd w:val="clear" w:color="auto" w:fill="4472C4" w:themeFill="accent1"/>
          </w:tcPr>
          <w:p w14:paraId="3246649E" w14:textId="77777777" w:rsidR="002A351F" w:rsidRPr="00D24FF3" w:rsidRDefault="002A351F" w:rsidP="00811E2A">
            <w:pPr>
              <w:pStyle w:val="NoSpacing"/>
              <w:rPr>
                <w:color w:val="FFFFFF" w:themeColor="background1"/>
              </w:rPr>
            </w:pPr>
            <w:r>
              <w:rPr>
                <w:color w:val="FFFFFF" w:themeColor="background1"/>
              </w:rPr>
              <w:t>Budget/Funding</w:t>
            </w:r>
          </w:p>
        </w:tc>
        <w:tc>
          <w:tcPr>
            <w:tcW w:w="1975" w:type="dxa"/>
            <w:shd w:val="clear" w:color="auto" w:fill="4472C4" w:themeFill="accent1"/>
          </w:tcPr>
          <w:p w14:paraId="518EDDC9" w14:textId="77777777" w:rsidR="002A351F" w:rsidRPr="00D24FF3" w:rsidRDefault="002A351F" w:rsidP="00811E2A">
            <w:pPr>
              <w:pStyle w:val="NoSpacing"/>
              <w:rPr>
                <w:color w:val="FFFFFF" w:themeColor="background1"/>
              </w:rPr>
            </w:pPr>
            <w:r>
              <w:rPr>
                <w:color w:val="FFFFFF" w:themeColor="background1"/>
              </w:rPr>
              <w:t>Lead Agency/</w:t>
            </w:r>
            <w:proofErr w:type="spellStart"/>
            <w:r>
              <w:rPr>
                <w:color w:val="FFFFFF" w:themeColor="background1"/>
              </w:rPr>
              <w:t>ies</w:t>
            </w:r>
            <w:proofErr w:type="spellEnd"/>
          </w:p>
        </w:tc>
      </w:tr>
      <w:tr w:rsidR="002A351F" w14:paraId="61CFE5D2" w14:textId="77777777" w:rsidTr="00831983">
        <w:tc>
          <w:tcPr>
            <w:tcW w:w="2335" w:type="dxa"/>
          </w:tcPr>
          <w:p w14:paraId="3FB7C90D" w14:textId="2CDB235A" w:rsidR="002A351F" w:rsidRDefault="002A351F" w:rsidP="00811E2A">
            <w:pPr>
              <w:pStyle w:val="NoSpacing"/>
            </w:pPr>
            <w:r w:rsidRPr="002A351F">
              <w:t>a. A full-time Snr. PSEA advisor/interagency Coordinator to support the RC</w:t>
            </w:r>
            <w:r>
              <w:t xml:space="preserve"> </w:t>
            </w:r>
            <w:r w:rsidRPr="002A351F">
              <w:t>and provide day-to-day technical support and expertise to</w:t>
            </w:r>
            <w:r>
              <w:t xml:space="preserve"> </w:t>
            </w:r>
            <w:r w:rsidRPr="002A351F">
              <w:t>the PSEA Network</w:t>
            </w:r>
          </w:p>
        </w:tc>
        <w:tc>
          <w:tcPr>
            <w:tcW w:w="2508" w:type="dxa"/>
          </w:tcPr>
          <w:p w14:paraId="4E2D8930" w14:textId="33D1E8B9" w:rsidR="002A351F" w:rsidRDefault="002A351F" w:rsidP="002A351F">
            <w:pPr>
              <w:pStyle w:val="NoSpacing"/>
            </w:pPr>
            <w:r>
              <w:t xml:space="preserve">PSEA </w:t>
            </w:r>
            <w:r w:rsidR="0007320A">
              <w:t xml:space="preserve">Inter-agency </w:t>
            </w:r>
            <w:r>
              <w:t>Coordinator (with medium to long term secured funding) is in plac</w:t>
            </w:r>
            <w:r w:rsidR="00ED0AF5">
              <w:t>e</w:t>
            </w:r>
          </w:p>
          <w:p w14:paraId="08A8D2C4" w14:textId="1FD1040B" w:rsidR="002A351F" w:rsidRDefault="002A351F" w:rsidP="002A351F">
            <w:pPr>
              <w:pStyle w:val="NoSpacing"/>
            </w:pPr>
          </w:p>
        </w:tc>
        <w:tc>
          <w:tcPr>
            <w:tcW w:w="4872" w:type="dxa"/>
          </w:tcPr>
          <w:p w14:paraId="6DB139D9" w14:textId="5E24C85E" w:rsidR="002A351F" w:rsidRDefault="002A351F" w:rsidP="00467ABB">
            <w:pPr>
              <w:pStyle w:val="NoSpacing"/>
            </w:pPr>
            <w:r>
              <w:t xml:space="preserve">• </w:t>
            </w:r>
            <w:r w:rsidR="0045406B">
              <w:t xml:space="preserve">Senior </w:t>
            </w:r>
            <w:r>
              <w:t xml:space="preserve">PSEA </w:t>
            </w:r>
            <w:r w:rsidR="0045406B">
              <w:t xml:space="preserve">Inter-Agency </w:t>
            </w:r>
            <w:r>
              <w:t xml:space="preserve">Coordinator </w:t>
            </w:r>
            <w:r w:rsidR="00467ABB">
              <w:t xml:space="preserve">funding is </w:t>
            </w:r>
            <w:r w:rsidR="00D214E4">
              <w:t>secured</w:t>
            </w:r>
            <w:r w:rsidR="009A5629">
              <w:t xml:space="preserve"> (P5 FTA) with RRs and quarterly field missions </w:t>
            </w:r>
          </w:p>
          <w:p w14:paraId="4FAA50EA" w14:textId="7FF0C0F6" w:rsidR="00467ABB" w:rsidRDefault="008F031A" w:rsidP="00467ABB">
            <w:pPr>
              <w:pStyle w:val="NoSpacing"/>
            </w:pPr>
            <w:r>
              <w:t>• IM/Inter-agency support is provided</w:t>
            </w:r>
            <w:r w:rsidR="00A26D59">
              <w:t xml:space="preserve"> to support the PSEA Network Secretariat (co-chairs, IM/programme support)</w:t>
            </w:r>
          </w:p>
        </w:tc>
        <w:tc>
          <w:tcPr>
            <w:tcW w:w="1170" w:type="dxa"/>
          </w:tcPr>
          <w:p w14:paraId="53EF0530" w14:textId="4BA396C4" w:rsidR="00F32295" w:rsidRDefault="0007320A" w:rsidP="00811E2A">
            <w:pPr>
              <w:pStyle w:val="NoSpacing"/>
            </w:pPr>
            <w:r>
              <w:t>All year</w:t>
            </w:r>
          </w:p>
        </w:tc>
        <w:tc>
          <w:tcPr>
            <w:tcW w:w="1620" w:type="dxa"/>
          </w:tcPr>
          <w:p w14:paraId="5B1D12FA" w14:textId="48110962" w:rsidR="00F32295" w:rsidRDefault="00F32295" w:rsidP="00F32295">
            <w:pPr>
              <w:pStyle w:val="NoSpacing"/>
            </w:pPr>
            <w:r>
              <w:t xml:space="preserve">UNFPA </w:t>
            </w:r>
            <w:r w:rsidR="0007320A">
              <w:t xml:space="preserve">earmarked </w:t>
            </w:r>
          </w:p>
          <w:p w14:paraId="13A6D6A9" w14:textId="46FC4D65" w:rsidR="002A351F" w:rsidRDefault="002A351F" w:rsidP="00F32295">
            <w:pPr>
              <w:pStyle w:val="NoSpacing"/>
            </w:pPr>
          </w:p>
        </w:tc>
        <w:tc>
          <w:tcPr>
            <w:tcW w:w="1975" w:type="dxa"/>
          </w:tcPr>
          <w:p w14:paraId="38C272C2" w14:textId="4D5E7712" w:rsidR="00F32295" w:rsidRDefault="00F32295" w:rsidP="00F32295">
            <w:r>
              <w:t>UNFPA</w:t>
            </w:r>
            <w:r w:rsidR="0007320A">
              <w:t>/UNCT</w:t>
            </w:r>
          </w:p>
          <w:p w14:paraId="0285CB2B" w14:textId="322FE46C" w:rsidR="002A351F" w:rsidRDefault="002A351F" w:rsidP="00F32295">
            <w:pPr>
              <w:spacing w:line="259" w:lineRule="auto"/>
            </w:pPr>
          </w:p>
        </w:tc>
      </w:tr>
      <w:tr w:rsidR="002A351F" w14:paraId="7A6179AE" w14:textId="77777777" w:rsidTr="00831983">
        <w:tc>
          <w:tcPr>
            <w:tcW w:w="2335" w:type="dxa"/>
          </w:tcPr>
          <w:p w14:paraId="7F1D15BF" w14:textId="165B4C60" w:rsidR="002A351F" w:rsidRDefault="002A351F" w:rsidP="00811E2A">
            <w:pPr>
              <w:pStyle w:val="NoSpacing"/>
            </w:pPr>
            <w:r>
              <w:t>b</w:t>
            </w:r>
            <w:r w:rsidRPr="002A351F">
              <w:t xml:space="preserve">. An inclusive PSEA Network is set up </w:t>
            </w:r>
            <w:r w:rsidR="00B7590B">
              <w:t xml:space="preserve">and represented by the </w:t>
            </w:r>
            <w:r w:rsidRPr="002A351F">
              <w:t xml:space="preserve">UNCT </w:t>
            </w:r>
            <w:r w:rsidR="00B7590B">
              <w:t>at the technical (PSEA Network, PSEA WG) and political level (PSEA Senior Strategic Steering Committee, UNCT)</w:t>
            </w:r>
          </w:p>
        </w:tc>
        <w:tc>
          <w:tcPr>
            <w:tcW w:w="2508" w:type="dxa"/>
          </w:tcPr>
          <w:p w14:paraId="1042B8F0" w14:textId="3D529EDD" w:rsidR="002346C7" w:rsidRDefault="00ED0AF5" w:rsidP="00811E2A">
            <w:pPr>
              <w:pStyle w:val="NoSpacing"/>
            </w:pPr>
            <w:r>
              <w:t xml:space="preserve">By </w:t>
            </w:r>
            <w:r w:rsidR="00B7590B">
              <w:t>the end of the year</w:t>
            </w:r>
            <w:r>
              <w:t xml:space="preserve">, the existing </w:t>
            </w:r>
            <w:r w:rsidR="00B7590B">
              <w:t xml:space="preserve">PSEA Network has increased </w:t>
            </w:r>
            <w:r w:rsidR="002346C7">
              <w:t>representation of</w:t>
            </w:r>
            <w:r w:rsidR="00B7590B">
              <w:t xml:space="preserve"> National NGO/CSOs</w:t>
            </w:r>
            <w:r>
              <w:t xml:space="preserve"> to ensure</w:t>
            </w:r>
            <w:r w:rsidR="002346C7">
              <w:t xml:space="preserve"> </w:t>
            </w:r>
            <w:r w:rsidR="00B7590B">
              <w:t xml:space="preserve">inclusivity and targeted </w:t>
            </w:r>
            <w:r w:rsidR="002346C7">
              <w:t xml:space="preserve">interventions. </w:t>
            </w:r>
          </w:p>
          <w:p w14:paraId="057DEC16" w14:textId="77777777" w:rsidR="002346C7" w:rsidRDefault="002346C7" w:rsidP="00811E2A">
            <w:pPr>
              <w:pStyle w:val="NoSpacing"/>
            </w:pPr>
          </w:p>
          <w:p w14:paraId="19D830DB" w14:textId="28B4091F" w:rsidR="002A351F" w:rsidRDefault="002346C7" w:rsidP="00811E2A">
            <w:pPr>
              <w:pStyle w:val="NoSpacing"/>
            </w:pPr>
            <w:r>
              <w:t xml:space="preserve"> The PSEA Network has been decentralized </w:t>
            </w:r>
          </w:p>
        </w:tc>
        <w:tc>
          <w:tcPr>
            <w:tcW w:w="4872" w:type="dxa"/>
          </w:tcPr>
          <w:p w14:paraId="003D5A15" w14:textId="11F439FE" w:rsidR="00F22B34" w:rsidRDefault="00ED0AF5" w:rsidP="00ED0AF5">
            <w:pPr>
              <w:pStyle w:val="NoSpacing"/>
            </w:pPr>
            <w:r>
              <w:t xml:space="preserve">• </w:t>
            </w:r>
            <w:r w:rsidR="00025304">
              <w:t>Preparation (Agenda, Meeting minutes) and co-chairing of monthly PSEA Network meetings in coordination with the PSEA Network Coordinator</w:t>
            </w:r>
          </w:p>
          <w:p w14:paraId="7235237D" w14:textId="77777777" w:rsidR="00025304" w:rsidRDefault="00025304" w:rsidP="00ED0AF5">
            <w:pPr>
              <w:pStyle w:val="NoSpacing"/>
            </w:pPr>
          </w:p>
          <w:p w14:paraId="646A7692" w14:textId="7EC0F800" w:rsidR="00ED0AF5" w:rsidRDefault="00F22B34" w:rsidP="00ED0AF5">
            <w:pPr>
              <w:pStyle w:val="NoSpacing"/>
            </w:pPr>
            <w:r>
              <w:t xml:space="preserve">• </w:t>
            </w:r>
            <w:r w:rsidR="00322CE5">
              <w:t xml:space="preserve">PSEA Network </w:t>
            </w:r>
            <w:r w:rsidR="00347D7C">
              <w:t xml:space="preserve">Co-chairs </w:t>
            </w:r>
            <w:r w:rsidR="00577625">
              <w:t>support</w:t>
            </w:r>
            <w:r w:rsidR="00347D7C">
              <w:t xml:space="preserve"> the PSEA Network </w:t>
            </w:r>
            <w:r w:rsidR="241C5428">
              <w:t xml:space="preserve">with Secretariat Functions under the guidance of the PSEA Network Coordinator </w:t>
            </w:r>
            <w:r w:rsidR="00347D7C">
              <w:t xml:space="preserve"> </w:t>
            </w:r>
            <w:r w:rsidR="002E1CF3">
              <w:t>(ToRs</w:t>
            </w:r>
            <w:r w:rsidR="00EE2894">
              <w:t>-rotational</w:t>
            </w:r>
            <w:r w:rsidR="00FD68F7">
              <w:t xml:space="preserve"> </w:t>
            </w:r>
            <w:r w:rsidR="5BE1258F">
              <w:t>basis</w:t>
            </w:r>
            <w:r w:rsidR="002E1CF3">
              <w:t>)</w:t>
            </w:r>
            <w:r w:rsidR="009C034E">
              <w:t xml:space="preserve"> </w:t>
            </w:r>
          </w:p>
          <w:p w14:paraId="2087B1EC" w14:textId="77777777" w:rsidR="00F556EE" w:rsidRDefault="00F556EE" w:rsidP="00ED0AF5">
            <w:pPr>
              <w:pStyle w:val="NoSpacing"/>
            </w:pPr>
          </w:p>
          <w:p w14:paraId="10EF9479" w14:textId="77777777" w:rsidR="00F556EE" w:rsidRDefault="00ED0AF5" w:rsidP="00ED0AF5">
            <w:pPr>
              <w:pStyle w:val="NoSpacing"/>
            </w:pPr>
            <w:r>
              <w:t xml:space="preserve">• Registration forms for the Network </w:t>
            </w:r>
            <w:r w:rsidR="002346C7">
              <w:t xml:space="preserve">are </w:t>
            </w:r>
            <w:r>
              <w:t xml:space="preserve">developed </w:t>
            </w:r>
          </w:p>
          <w:p w14:paraId="15D70DC3" w14:textId="46283E6C" w:rsidR="002A351F" w:rsidRDefault="002346C7" w:rsidP="00ED0AF5">
            <w:pPr>
              <w:pStyle w:val="NoSpacing"/>
            </w:pPr>
            <w:r>
              <w:t xml:space="preserve">to assess the PSEA capacity of new members and </w:t>
            </w:r>
            <w:r w:rsidR="00F556EE">
              <w:t>a</w:t>
            </w:r>
            <w:r w:rsidR="00ED0AF5">
              <w:t xml:space="preserve"> list of Focal Points </w:t>
            </w:r>
            <w:r>
              <w:t xml:space="preserve">is </w:t>
            </w:r>
            <w:r w:rsidR="00ED0AF5">
              <w:t>updated regularly</w:t>
            </w:r>
            <w:r>
              <w:t xml:space="preserve"> </w:t>
            </w:r>
          </w:p>
        </w:tc>
        <w:tc>
          <w:tcPr>
            <w:tcW w:w="1170" w:type="dxa"/>
          </w:tcPr>
          <w:p w14:paraId="63CA97B7" w14:textId="5227872A" w:rsidR="002A351F" w:rsidRDefault="00025304" w:rsidP="00811E2A">
            <w:pPr>
              <w:pStyle w:val="NoSpacing"/>
            </w:pPr>
            <w:r>
              <w:t>All year</w:t>
            </w:r>
          </w:p>
          <w:p w14:paraId="07931980" w14:textId="77777777" w:rsidR="00542749" w:rsidRDefault="00542749" w:rsidP="00811E2A">
            <w:pPr>
              <w:pStyle w:val="NoSpacing"/>
            </w:pPr>
          </w:p>
          <w:p w14:paraId="63463052" w14:textId="77777777" w:rsidR="00542749" w:rsidRDefault="00542749" w:rsidP="00811E2A">
            <w:pPr>
              <w:pStyle w:val="NoSpacing"/>
            </w:pPr>
          </w:p>
          <w:p w14:paraId="42E48F13" w14:textId="77777777" w:rsidR="00542749" w:rsidRDefault="00542749" w:rsidP="00811E2A">
            <w:pPr>
              <w:pStyle w:val="NoSpacing"/>
            </w:pPr>
          </w:p>
          <w:p w14:paraId="36115590" w14:textId="77777777" w:rsidR="00542749" w:rsidRDefault="00542749" w:rsidP="00811E2A">
            <w:pPr>
              <w:pStyle w:val="NoSpacing"/>
            </w:pPr>
          </w:p>
          <w:p w14:paraId="509D2683" w14:textId="77777777" w:rsidR="00542749" w:rsidRDefault="00542749" w:rsidP="00811E2A">
            <w:pPr>
              <w:pStyle w:val="NoSpacing"/>
            </w:pPr>
            <w:r>
              <w:t>Q1</w:t>
            </w:r>
          </w:p>
          <w:p w14:paraId="74B65A72" w14:textId="77777777" w:rsidR="00F556EE" w:rsidRDefault="00F556EE" w:rsidP="00811E2A">
            <w:pPr>
              <w:pStyle w:val="NoSpacing"/>
            </w:pPr>
          </w:p>
          <w:p w14:paraId="5BA6696D" w14:textId="77777777" w:rsidR="00F556EE" w:rsidRDefault="00F556EE" w:rsidP="00811E2A">
            <w:pPr>
              <w:pStyle w:val="NoSpacing"/>
            </w:pPr>
          </w:p>
          <w:p w14:paraId="12B8C3CC" w14:textId="77777777" w:rsidR="00F556EE" w:rsidRDefault="00F556EE" w:rsidP="00F556EE">
            <w:pPr>
              <w:pStyle w:val="NoSpacing"/>
            </w:pPr>
            <w:r>
              <w:t>All year</w:t>
            </w:r>
          </w:p>
          <w:p w14:paraId="7637C143" w14:textId="3A3D3FC2" w:rsidR="00F556EE" w:rsidRDefault="00F556EE" w:rsidP="00811E2A">
            <w:pPr>
              <w:pStyle w:val="NoSpacing"/>
            </w:pPr>
          </w:p>
        </w:tc>
        <w:tc>
          <w:tcPr>
            <w:tcW w:w="1620" w:type="dxa"/>
          </w:tcPr>
          <w:p w14:paraId="426D0B12" w14:textId="77777777" w:rsidR="002A351F" w:rsidRDefault="00ED0AF5" w:rsidP="00811E2A">
            <w:pPr>
              <w:pStyle w:val="NoSpacing"/>
            </w:pPr>
            <w:r>
              <w:t>N/A</w:t>
            </w:r>
          </w:p>
          <w:p w14:paraId="1E510260" w14:textId="77777777" w:rsidR="00F556EE" w:rsidRDefault="00F556EE" w:rsidP="00811E2A">
            <w:pPr>
              <w:pStyle w:val="NoSpacing"/>
            </w:pPr>
          </w:p>
          <w:p w14:paraId="15CDC167" w14:textId="77777777" w:rsidR="00F556EE" w:rsidRDefault="00F556EE" w:rsidP="00811E2A">
            <w:pPr>
              <w:pStyle w:val="NoSpacing"/>
            </w:pPr>
          </w:p>
          <w:p w14:paraId="260FCAC8" w14:textId="77777777" w:rsidR="00F556EE" w:rsidRDefault="00F556EE" w:rsidP="00811E2A">
            <w:pPr>
              <w:pStyle w:val="NoSpacing"/>
            </w:pPr>
          </w:p>
          <w:p w14:paraId="10097B5F" w14:textId="77777777" w:rsidR="00F556EE" w:rsidRDefault="00F556EE" w:rsidP="00811E2A">
            <w:pPr>
              <w:pStyle w:val="NoSpacing"/>
            </w:pPr>
          </w:p>
          <w:p w14:paraId="0BA5A888" w14:textId="77777777" w:rsidR="00F556EE" w:rsidRDefault="00F556EE" w:rsidP="00811E2A">
            <w:pPr>
              <w:pStyle w:val="NoSpacing"/>
            </w:pPr>
            <w:r>
              <w:t>N/A</w:t>
            </w:r>
          </w:p>
          <w:p w14:paraId="2B96E101" w14:textId="77777777" w:rsidR="00F556EE" w:rsidRDefault="00F556EE" w:rsidP="00811E2A">
            <w:pPr>
              <w:pStyle w:val="NoSpacing"/>
            </w:pPr>
          </w:p>
          <w:p w14:paraId="57F715DB" w14:textId="77777777" w:rsidR="00F556EE" w:rsidRDefault="00F556EE" w:rsidP="00811E2A">
            <w:pPr>
              <w:pStyle w:val="NoSpacing"/>
            </w:pPr>
          </w:p>
          <w:p w14:paraId="53FE15DC" w14:textId="3D0E607B" w:rsidR="00F556EE" w:rsidRDefault="00F556EE" w:rsidP="00811E2A">
            <w:pPr>
              <w:pStyle w:val="NoSpacing"/>
            </w:pPr>
            <w:r>
              <w:t>N/A</w:t>
            </w:r>
          </w:p>
        </w:tc>
        <w:tc>
          <w:tcPr>
            <w:tcW w:w="1975" w:type="dxa"/>
          </w:tcPr>
          <w:p w14:paraId="725AC10C" w14:textId="77777777" w:rsidR="00ED0AF5" w:rsidRDefault="00ED0AF5" w:rsidP="00ED0AF5">
            <w:r>
              <w:t>RCO, PSEA Inter-Agency</w:t>
            </w:r>
          </w:p>
          <w:p w14:paraId="55996FC3" w14:textId="1EACE3F2" w:rsidR="002A351F" w:rsidRDefault="00ED0AF5" w:rsidP="00ED0AF5">
            <w:r>
              <w:t>Coordinator</w:t>
            </w:r>
          </w:p>
        </w:tc>
      </w:tr>
    </w:tbl>
    <w:p w14:paraId="4F0823E2" w14:textId="77777777" w:rsidR="002A351F" w:rsidRDefault="002A351F" w:rsidP="005D177C">
      <w:pPr>
        <w:pStyle w:val="NoSpacing"/>
      </w:pPr>
    </w:p>
    <w:p w14:paraId="50A0D67C" w14:textId="2BC20463" w:rsidR="0036149A" w:rsidRPr="00D24FF3" w:rsidRDefault="0036149A" w:rsidP="0036149A">
      <w:pPr>
        <w:pStyle w:val="NoSpacing"/>
        <w:rPr>
          <w:b/>
          <w:bCs/>
        </w:rPr>
      </w:pPr>
      <w:r w:rsidRPr="00D24FF3">
        <w:rPr>
          <w:b/>
          <w:bCs/>
        </w:rPr>
        <w:t xml:space="preserve">Output </w:t>
      </w:r>
      <w:r w:rsidRPr="005D5943">
        <w:rPr>
          <w:b/>
          <w:bCs/>
        </w:rPr>
        <w:t>5.</w:t>
      </w:r>
      <w:r>
        <w:rPr>
          <w:b/>
          <w:bCs/>
        </w:rPr>
        <w:t xml:space="preserve">3 </w:t>
      </w:r>
      <w:r w:rsidRPr="0036149A">
        <w:rPr>
          <w:b/>
          <w:bCs/>
        </w:rPr>
        <w:t>An inter- agency PSEA Network is in place with the resources and expertise necessary to deliver on PSEA outcomes, including to support the implementation of the Management Accountability Framework PSEA related obligations (technical level).</w:t>
      </w:r>
    </w:p>
    <w:tbl>
      <w:tblPr>
        <w:tblStyle w:val="TableGrid"/>
        <w:tblW w:w="0" w:type="auto"/>
        <w:tblCellMar>
          <w:left w:w="72" w:type="dxa"/>
          <w:right w:w="72" w:type="dxa"/>
        </w:tblCellMar>
        <w:tblLook w:val="04A0" w:firstRow="1" w:lastRow="0" w:firstColumn="1" w:lastColumn="0" w:noHBand="0" w:noVBand="1"/>
      </w:tblPr>
      <w:tblGrid>
        <w:gridCol w:w="2335"/>
        <w:gridCol w:w="2508"/>
        <w:gridCol w:w="4872"/>
        <w:gridCol w:w="1170"/>
        <w:gridCol w:w="1620"/>
        <w:gridCol w:w="1975"/>
      </w:tblGrid>
      <w:tr w:rsidR="0036149A" w:rsidRPr="00D24FF3" w14:paraId="676D9572" w14:textId="77777777" w:rsidTr="00831983">
        <w:trPr>
          <w:tblHeader/>
        </w:trPr>
        <w:tc>
          <w:tcPr>
            <w:tcW w:w="2335" w:type="dxa"/>
            <w:shd w:val="clear" w:color="auto" w:fill="4472C4" w:themeFill="accent1"/>
          </w:tcPr>
          <w:p w14:paraId="45513534" w14:textId="77777777" w:rsidR="0036149A" w:rsidRPr="00D24FF3" w:rsidRDefault="0036149A" w:rsidP="00811E2A">
            <w:pPr>
              <w:pStyle w:val="NoSpacing"/>
              <w:rPr>
                <w:color w:val="FFFFFF" w:themeColor="background1"/>
              </w:rPr>
            </w:pPr>
            <w:r>
              <w:rPr>
                <w:color w:val="FFFFFF" w:themeColor="background1"/>
              </w:rPr>
              <w:t>Indicator</w:t>
            </w:r>
          </w:p>
        </w:tc>
        <w:tc>
          <w:tcPr>
            <w:tcW w:w="2508" w:type="dxa"/>
            <w:shd w:val="clear" w:color="auto" w:fill="4472C4" w:themeFill="accent1"/>
          </w:tcPr>
          <w:p w14:paraId="5772E3C8" w14:textId="77777777" w:rsidR="0036149A" w:rsidRPr="00D24FF3" w:rsidRDefault="0036149A" w:rsidP="00811E2A">
            <w:pPr>
              <w:pStyle w:val="NoSpacing"/>
              <w:rPr>
                <w:color w:val="FFFFFF" w:themeColor="background1"/>
              </w:rPr>
            </w:pPr>
            <w:r>
              <w:rPr>
                <w:color w:val="FFFFFF" w:themeColor="background1"/>
              </w:rPr>
              <w:t>Target/Benchmark</w:t>
            </w:r>
          </w:p>
        </w:tc>
        <w:tc>
          <w:tcPr>
            <w:tcW w:w="4872" w:type="dxa"/>
            <w:shd w:val="clear" w:color="auto" w:fill="4472C4" w:themeFill="accent1"/>
          </w:tcPr>
          <w:p w14:paraId="6D994BF7" w14:textId="77777777" w:rsidR="0036149A" w:rsidRPr="00D24FF3" w:rsidRDefault="0036149A" w:rsidP="00811E2A">
            <w:pPr>
              <w:pStyle w:val="NoSpacing"/>
              <w:rPr>
                <w:color w:val="FFFFFF" w:themeColor="background1"/>
              </w:rPr>
            </w:pPr>
            <w:r>
              <w:rPr>
                <w:color w:val="FFFFFF" w:themeColor="background1"/>
              </w:rPr>
              <w:t>Key Action</w:t>
            </w:r>
          </w:p>
        </w:tc>
        <w:tc>
          <w:tcPr>
            <w:tcW w:w="1170" w:type="dxa"/>
            <w:shd w:val="clear" w:color="auto" w:fill="4472C4" w:themeFill="accent1"/>
          </w:tcPr>
          <w:p w14:paraId="2D043A8B" w14:textId="77777777" w:rsidR="0036149A" w:rsidRPr="00D24FF3" w:rsidRDefault="0036149A" w:rsidP="00811E2A">
            <w:pPr>
              <w:pStyle w:val="NoSpacing"/>
              <w:rPr>
                <w:color w:val="FFFFFF" w:themeColor="background1"/>
              </w:rPr>
            </w:pPr>
            <w:r>
              <w:rPr>
                <w:color w:val="FFFFFF" w:themeColor="background1"/>
              </w:rPr>
              <w:t>Timeframe</w:t>
            </w:r>
          </w:p>
        </w:tc>
        <w:tc>
          <w:tcPr>
            <w:tcW w:w="1620" w:type="dxa"/>
            <w:shd w:val="clear" w:color="auto" w:fill="4472C4" w:themeFill="accent1"/>
          </w:tcPr>
          <w:p w14:paraId="1646AB0F" w14:textId="77777777" w:rsidR="0036149A" w:rsidRPr="00D24FF3" w:rsidRDefault="0036149A" w:rsidP="00811E2A">
            <w:pPr>
              <w:pStyle w:val="NoSpacing"/>
              <w:rPr>
                <w:color w:val="FFFFFF" w:themeColor="background1"/>
              </w:rPr>
            </w:pPr>
            <w:r>
              <w:rPr>
                <w:color w:val="FFFFFF" w:themeColor="background1"/>
              </w:rPr>
              <w:t>Budget/Funding</w:t>
            </w:r>
          </w:p>
        </w:tc>
        <w:tc>
          <w:tcPr>
            <w:tcW w:w="1975" w:type="dxa"/>
            <w:shd w:val="clear" w:color="auto" w:fill="4472C4" w:themeFill="accent1"/>
          </w:tcPr>
          <w:p w14:paraId="301D19A5" w14:textId="77777777" w:rsidR="0036149A" w:rsidRPr="00D24FF3" w:rsidRDefault="0036149A" w:rsidP="00811E2A">
            <w:pPr>
              <w:pStyle w:val="NoSpacing"/>
              <w:rPr>
                <w:color w:val="FFFFFF" w:themeColor="background1"/>
              </w:rPr>
            </w:pPr>
            <w:r>
              <w:rPr>
                <w:color w:val="FFFFFF" w:themeColor="background1"/>
              </w:rPr>
              <w:t>Lead Agency/</w:t>
            </w:r>
            <w:proofErr w:type="spellStart"/>
            <w:r>
              <w:rPr>
                <w:color w:val="FFFFFF" w:themeColor="background1"/>
              </w:rPr>
              <w:t>ies</w:t>
            </w:r>
            <w:proofErr w:type="spellEnd"/>
          </w:p>
        </w:tc>
      </w:tr>
      <w:tr w:rsidR="0036149A" w14:paraId="62B0257F" w14:textId="77777777" w:rsidTr="00831983">
        <w:tc>
          <w:tcPr>
            <w:tcW w:w="2335" w:type="dxa"/>
          </w:tcPr>
          <w:p w14:paraId="720B33B1" w14:textId="3A53853E" w:rsidR="0036149A" w:rsidRDefault="00EB3E02" w:rsidP="00811E2A">
            <w:pPr>
              <w:pStyle w:val="NoSpacing"/>
            </w:pPr>
            <w:r>
              <w:t>a</w:t>
            </w:r>
            <w:r w:rsidRPr="00EB3E02">
              <w:t>. PSEA Strategy informs the PSEA structures and in country wo</w:t>
            </w:r>
            <w:r>
              <w:t>rk</w:t>
            </w:r>
          </w:p>
        </w:tc>
        <w:tc>
          <w:tcPr>
            <w:tcW w:w="2508" w:type="dxa"/>
          </w:tcPr>
          <w:p w14:paraId="311CF345" w14:textId="0E171E09" w:rsidR="0036149A" w:rsidRDefault="00EB3E02" w:rsidP="00811E2A">
            <w:pPr>
              <w:pStyle w:val="NoSpacing"/>
            </w:pPr>
            <w:r w:rsidRPr="00EB3E02">
              <w:t>A PSEA Network, composed of UN PSEA FPs nominated by all Country Representatives is in place</w:t>
            </w:r>
          </w:p>
        </w:tc>
        <w:tc>
          <w:tcPr>
            <w:tcW w:w="4872" w:type="dxa"/>
          </w:tcPr>
          <w:p w14:paraId="66F5AC21" w14:textId="77CA5D7E" w:rsidR="0036149A" w:rsidRDefault="00EB3E02" w:rsidP="00811E2A">
            <w:pPr>
              <w:pStyle w:val="NoSpacing"/>
            </w:pPr>
            <w:r w:rsidRPr="00EB3E02">
              <w:t>• The PSEA Network Coordinator meets monthly with the PSEA UN Co-chair to ensure consultative processes for PSEA Network meetings, PSEA Technical WG impacting on the operationalization of the MAF and UNCT accountability</w:t>
            </w:r>
          </w:p>
        </w:tc>
        <w:tc>
          <w:tcPr>
            <w:tcW w:w="1170" w:type="dxa"/>
          </w:tcPr>
          <w:p w14:paraId="01092BFC" w14:textId="14C75A87" w:rsidR="0036149A" w:rsidRDefault="00EB3E02" w:rsidP="00811E2A">
            <w:pPr>
              <w:pStyle w:val="NoSpacing"/>
            </w:pPr>
            <w:r>
              <w:t>All year</w:t>
            </w:r>
          </w:p>
        </w:tc>
        <w:tc>
          <w:tcPr>
            <w:tcW w:w="1620" w:type="dxa"/>
          </w:tcPr>
          <w:p w14:paraId="23FBD5FC" w14:textId="5CB43972" w:rsidR="0036149A" w:rsidRDefault="00EB3E02" w:rsidP="00811E2A">
            <w:pPr>
              <w:pStyle w:val="NoSpacing"/>
            </w:pPr>
            <w:r>
              <w:t>N/A</w:t>
            </w:r>
          </w:p>
        </w:tc>
        <w:tc>
          <w:tcPr>
            <w:tcW w:w="1975" w:type="dxa"/>
          </w:tcPr>
          <w:p w14:paraId="144CD5BB" w14:textId="26D2E968" w:rsidR="0036149A" w:rsidRDefault="00EB3E02" w:rsidP="00811E2A">
            <w:pPr>
              <w:spacing w:line="259" w:lineRule="auto"/>
            </w:pPr>
            <w:r>
              <w:t>RCO, PSEA Coordinator</w:t>
            </w:r>
          </w:p>
        </w:tc>
      </w:tr>
      <w:tr w:rsidR="00EB3E02" w14:paraId="03CD7657" w14:textId="77777777" w:rsidTr="00831983">
        <w:tc>
          <w:tcPr>
            <w:tcW w:w="2335" w:type="dxa"/>
          </w:tcPr>
          <w:p w14:paraId="53B36424" w14:textId="28D21CD0" w:rsidR="00EB3E02" w:rsidRDefault="00EB3E02" w:rsidP="00811E2A">
            <w:pPr>
              <w:pStyle w:val="NoSpacing"/>
            </w:pPr>
            <w:r>
              <w:t>b</w:t>
            </w:r>
            <w:r w:rsidRPr="00EB3E02">
              <w:t xml:space="preserve">. UNCT PSEA Action Plan implementing the MAF PSEA related obligations and Minimum Operational </w:t>
            </w:r>
            <w:r w:rsidRPr="00EB3E02">
              <w:lastRenderedPageBreak/>
              <w:t>Standards is developed by each organization (will be complemented by the wide-system PSEA action plan to include multi stakeholders/ partners</w:t>
            </w:r>
          </w:p>
        </w:tc>
        <w:tc>
          <w:tcPr>
            <w:tcW w:w="2508" w:type="dxa"/>
          </w:tcPr>
          <w:p w14:paraId="24159637" w14:textId="5DFF54DF" w:rsidR="00EB3E02" w:rsidRPr="00EB3E02" w:rsidRDefault="00EB3E02" w:rsidP="00811E2A">
            <w:pPr>
              <w:pStyle w:val="NoSpacing"/>
            </w:pPr>
            <w:r w:rsidRPr="00EB3E02">
              <w:lastRenderedPageBreak/>
              <w:t>The PSEA action plan is developed based on the PSEA Interagency PSEA action plan, MAF and MOS</w:t>
            </w:r>
          </w:p>
        </w:tc>
        <w:tc>
          <w:tcPr>
            <w:tcW w:w="4872" w:type="dxa"/>
          </w:tcPr>
          <w:p w14:paraId="22F738B9" w14:textId="4525D83E" w:rsidR="00EB3E02" w:rsidRDefault="00EB3E02" w:rsidP="00EB3E02">
            <w:pPr>
              <w:pStyle w:val="NoSpacing"/>
            </w:pPr>
            <w:r>
              <w:t xml:space="preserve">• PSEA Focal Points of UN agencies develop and monitor progress of the implementation of their individual/ organizational action plans </w:t>
            </w:r>
          </w:p>
          <w:p w14:paraId="21726D84" w14:textId="77777777" w:rsidR="00EB3E02" w:rsidRDefault="00EB3E02" w:rsidP="00EB3E02">
            <w:pPr>
              <w:pStyle w:val="NoSpacing"/>
            </w:pPr>
          </w:p>
          <w:p w14:paraId="6B308D5A" w14:textId="763C9D34" w:rsidR="00EB3E02" w:rsidRPr="00EB3E02" w:rsidRDefault="00EB3E02" w:rsidP="00EB3E02">
            <w:pPr>
              <w:pStyle w:val="NoSpacing"/>
            </w:pPr>
            <w:r>
              <w:lastRenderedPageBreak/>
              <w:t>• PSEA FPs support Heads of Agencies to share progress/inputs for the Annual Secretary General Management Lette</w:t>
            </w:r>
            <w:r w:rsidR="1C10D864">
              <w:t>r</w:t>
            </w:r>
          </w:p>
        </w:tc>
        <w:tc>
          <w:tcPr>
            <w:tcW w:w="1170" w:type="dxa"/>
          </w:tcPr>
          <w:p w14:paraId="1F406B2E" w14:textId="77777777" w:rsidR="00EB3E02" w:rsidRDefault="00EB3E02" w:rsidP="00811E2A">
            <w:pPr>
              <w:pStyle w:val="NoSpacing"/>
            </w:pPr>
            <w:r>
              <w:lastRenderedPageBreak/>
              <w:t>All year</w:t>
            </w:r>
          </w:p>
          <w:p w14:paraId="471BC0B2" w14:textId="77777777" w:rsidR="00EB3E02" w:rsidRDefault="00EB3E02" w:rsidP="00811E2A">
            <w:pPr>
              <w:pStyle w:val="NoSpacing"/>
            </w:pPr>
          </w:p>
          <w:p w14:paraId="68B2CB7B" w14:textId="77777777" w:rsidR="00EB3E02" w:rsidRDefault="00EB3E02" w:rsidP="00811E2A">
            <w:pPr>
              <w:pStyle w:val="NoSpacing"/>
            </w:pPr>
          </w:p>
          <w:p w14:paraId="46205250" w14:textId="77777777" w:rsidR="00EB3E02" w:rsidRDefault="00EB3E02" w:rsidP="00811E2A">
            <w:pPr>
              <w:pStyle w:val="NoSpacing"/>
            </w:pPr>
          </w:p>
          <w:p w14:paraId="369C8849" w14:textId="77777777" w:rsidR="00180CC9" w:rsidRDefault="00180CC9" w:rsidP="00811E2A">
            <w:pPr>
              <w:pStyle w:val="NoSpacing"/>
            </w:pPr>
          </w:p>
          <w:p w14:paraId="40AB9993" w14:textId="25CC4335" w:rsidR="00EB3E02" w:rsidRDefault="00EB3E02" w:rsidP="00811E2A">
            <w:pPr>
              <w:pStyle w:val="NoSpacing"/>
            </w:pPr>
            <w:r>
              <w:lastRenderedPageBreak/>
              <w:t>Q4</w:t>
            </w:r>
          </w:p>
        </w:tc>
        <w:tc>
          <w:tcPr>
            <w:tcW w:w="1620" w:type="dxa"/>
          </w:tcPr>
          <w:p w14:paraId="0446D74E" w14:textId="77777777" w:rsidR="00EB3E02" w:rsidRDefault="00EB3E02" w:rsidP="00811E2A">
            <w:pPr>
              <w:pStyle w:val="NoSpacing"/>
            </w:pPr>
            <w:r>
              <w:lastRenderedPageBreak/>
              <w:t>N/A</w:t>
            </w:r>
          </w:p>
          <w:p w14:paraId="24D42F10" w14:textId="77777777" w:rsidR="00EB3E02" w:rsidRDefault="00EB3E02" w:rsidP="00811E2A">
            <w:pPr>
              <w:pStyle w:val="NoSpacing"/>
            </w:pPr>
          </w:p>
          <w:p w14:paraId="50E9154B" w14:textId="77777777" w:rsidR="00EB3E02" w:rsidRDefault="00EB3E02" w:rsidP="00811E2A">
            <w:pPr>
              <w:pStyle w:val="NoSpacing"/>
            </w:pPr>
          </w:p>
          <w:p w14:paraId="64B07D97" w14:textId="77777777" w:rsidR="00180CC9" w:rsidRDefault="00180CC9" w:rsidP="00811E2A">
            <w:pPr>
              <w:pStyle w:val="NoSpacing"/>
            </w:pPr>
          </w:p>
          <w:p w14:paraId="4E88E0F9" w14:textId="77777777" w:rsidR="00EB3E02" w:rsidRDefault="00EB3E02" w:rsidP="00811E2A">
            <w:pPr>
              <w:pStyle w:val="NoSpacing"/>
            </w:pPr>
          </w:p>
          <w:p w14:paraId="122F7B31" w14:textId="6BC40DB2" w:rsidR="00EB3E02" w:rsidRDefault="00EB3E02" w:rsidP="00811E2A">
            <w:pPr>
              <w:pStyle w:val="NoSpacing"/>
            </w:pPr>
            <w:r>
              <w:lastRenderedPageBreak/>
              <w:t>N/A</w:t>
            </w:r>
          </w:p>
        </w:tc>
        <w:tc>
          <w:tcPr>
            <w:tcW w:w="1975" w:type="dxa"/>
          </w:tcPr>
          <w:p w14:paraId="2E6B65CC" w14:textId="77777777" w:rsidR="00EB3E02" w:rsidRDefault="00EB3E02" w:rsidP="00EB3E02">
            <w:r>
              <w:lastRenderedPageBreak/>
              <w:t xml:space="preserve">PSEA FP of UN agencies (support from PSEA </w:t>
            </w:r>
          </w:p>
          <w:p w14:paraId="40E54B3E" w14:textId="226EE565" w:rsidR="00EB3E02" w:rsidRDefault="00EB3E02" w:rsidP="00EB3E02">
            <w:r>
              <w:t>Coordinator)</w:t>
            </w:r>
          </w:p>
          <w:p w14:paraId="4295B1A9" w14:textId="378457E6" w:rsidR="00EB3E02" w:rsidRDefault="00EB3E02" w:rsidP="00EB3E02">
            <w:r>
              <w:lastRenderedPageBreak/>
              <w:t>UN PSEA FPs coordinated by the PSEA Coordinator</w:t>
            </w:r>
          </w:p>
        </w:tc>
      </w:tr>
    </w:tbl>
    <w:p w14:paraId="734F9EC6" w14:textId="1CE70120" w:rsidR="338E85F6" w:rsidRDefault="338E85F6" w:rsidP="338E85F6">
      <w:pPr>
        <w:pStyle w:val="NoSpacing"/>
      </w:pPr>
    </w:p>
    <w:p w14:paraId="0D3D44A1" w14:textId="222BF5FC" w:rsidR="338E85F6" w:rsidRDefault="338E85F6" w:rsidP="338E85F6">
      <w:pPr>
        <w:pStyle w:val="NoSpacing"/>
      </w:pPr>
    </w:p>
    <w:p w14:paraId="42F1376C" w14:textId="780275FD" w:rsidR="00EB3E02" w:rsidRPr="00D24FF3" w:rsidRDefault="00EB3E02" w:rsidP="00EB3E02">
      <w:pPr>
        <w:pStyle w:val="NoSpacing"/>
        <w:rPr>
          <w:b/>
          <w:bCs/>
        </w:rPr>
      </w:pPr>
      <w:r w:rsidRPr="00D24FF3">
        <w:rPr>
          <w:b/>
          <w:bCs/>
        </w:rPr>
        <w:t xml:space="preserve">Output </w:t>
      </w:r>
      <w:r w:rsidRPr="005D5943">
        <w:rPr>
          <w:b/>
          <w:bCs/>
        </w:rPr>
        <w:t>5.</w:t>
      </w:r>
      <w:r>
        <w:rPr>
          <w:b/>
          <w:bCs/>
        </w:rPr>
        <w:t xml:space="preserve">4 </w:t>
      </w:r>
      <w:r w:rsidRPr="00EB3E02">
        <w:rPr>
          <w:b/>
          <w:bCs/>
        </w:rPr>
        <w:t>Representatives of the UNCT understand their role to support the Resident Coordinator to deliver on PSEA at the UNCT/HCT level and the PSEA Network at the technical level.</w:t>
      </w:r>
    </w:p>
    <w:tbl>
      <w:tblPr>
        <w:tblStyle w:val="TableGrid"/>
        <w:tblW w:w="0" w:type="auto"/>
        <w:tblCellMar>
          <w:left w:w="72" w:type="dxa"/>
          <w:right w:w="72" w:type="dxa"/>
        </w:tblCellMar>
        <w:tblLook w:val="04A0" w:firstRow="1" w:lastRow="0" w:firstColumn="1" w:lastColumn="0" w:noHBand="0" w:noVBand="1"/>
      </w:tblPr>
      <w:tblGrid>
        <w:gridCol w:w="2335"/>
        <w:gridCol w:w="2508"/>
        <w:gridCol w:w="4872"/>
        <w:gridCol w:w="1170"/>
        <w:gridCol w:w="1620"/>
        <w:gridCol w:w="1975"/>
      </w:tblGrid>
      <w:tr w:rsidR="00EB3E02" w:rsidRPr="00D24FF3" w14:paraId="4A79255C" w14:textId="77777777" w:rsidTr="00831983">
        <w:trPr>
          <w:tblHeader/>
        </w:trPr>
        <w:tc>
          <w:tcPr>
            <w:tcW w:w="2335" w:type="dxa"/>
            <w:shd w:val="clear" w:color="auto" w:fill="4472C4" w:themeFill="accent1"/>
          </w:tcPr>
          <w:p w14:paraId="3AE80798" w14:textId="77777777" w:rsidR="00EB3E02" w:rsidRPr="00D24FF3" w:rsidRDefault="00EB3E02" w:rsidP="00811E2A">
            <w:pPr>
              <w:pStyle w:val="NoSpacing"/>
              <w:rPr>
                <w:color w:val="FFFFFF" w:themeColor="background1"/>
              </w:rPr>
            </w:pPr>
            <w:r>
              <w:rPr>
                <w:color w:val="FFFFFF" w:themeColor="background1"/>
              </w:rPr>
              <w:t>Indicator</w:t>
            </w:r>
          </w:p>
        </w:tc>
        <w:tc>
          <w:tcPr>
            <w:tcW w:w="2508" w:type="dxa"/>
            <w:shd w:val="clear" w:color="auto" w:fill="4472C4" w:themeFill="accent1"/>
          </w:tcPr>
          <w:p w14:paraId="7278387E" w14:textId="77777777" w:rsidR="00EB3E02" w:rsidRPr="00D24FF3" w:rsidRDefault="00EB3E02" w:rsidP="00811E2A">
            <w:pPr>
              <w:pStyle w:val="NoSpacing"/>
              <w:rPr>
                <w:color w:val="FFFFFF" w:themeColor="background1"/>
              </w:rPr>
            </w:pPr>
            <w:r>
              <w:rPr>
                <w:color w:val="FFFFFF" w:themeColor="background1"/>
              </w:rPr>
              <w:t>Target/Benchmark</w:t>
            </w:r>
          </w:p>
        </w:tc>
        <w:tc>
          <w:tcPr>
            <w:tcW w:w="4872" w:type="dxa"/>
            <w:shd w:val="clear" w:color="auto" w:fill="4472C4" w:themeFill="accent1"/>
          </w:tcPr>
          <w:p w14:paraId="091C37A8" w14:textId="77777777" w:rsidR="00EB3E02" w:rsidRPr="00D24FF3" w:rsidRDefault="00EB3E02" w:rsidP="00811E2A">
            <w:pPr>
              <w:pStyle w:val="NoSpacing"/>
              <w:rPr>
                <w:color w:val="FFFFFF" w:themeColor="background1"/>
              </w:rPr>
            </w:pPr>
            <w:r>
              <w:rPr>
                <w:color w:val="FFFFFF" w:themeColor="background1"/>
              </w:rPr>
              <w:t>Key Action</w:t>
            </w:r>
          </w:p>
        </w:tc>
        <w:tc>
          <w:tcPr>
            <w:tcW w:w="1170" w:type="dxa"/>
            <w:shd w:val="clear" w:color="auto" w:fill="4472C4" w:themeFill="accent1"/>
          </w:tcPr>
          <w:p w14:paraId="1A8FE181" w14:textId="77777777" w:rsidR="00EB3E02" w:rsidRPr="00D24FF3" w:rsidRDefault="00EB3E02" w:rsidP="00811E2A">
            <w:pPr>
              <w:pStyle w:val="NoSpacing"/>
              <w:rPr>
                <w:color w:val="FFFFFF" w:themeColor="background1"/>
              </w:rPr>
            </w:pPr>
            <w:r>
              <w:rPr>
                <w:color w:val="FFFFFF" w:themeColor="background1"/>
              </w:rPr>
              <w:t>Timeframe</w:t>
            </w:r>
          </w:p>
        </w:tc>
        <w:tc>
          <w:tcPr>
            <w:tcW w:w="1620" w:type="dxa"/>
            <w:shd w:val="clear" w:color="auto" w:fill="4472C4" w:themeFill="accent1"/>
          </w:tcPr>
          <w:p w14:paraId="1CCAD18E" w14:textId="77777777" w:rsidR="00EB3E02" w:rsidRPr="00D24FF3" w:rsidRDefault="00EB3E02" w:rsidP="00811E2A">
            <w:pPr>
              <w:pStyle w:val="NoSpacing"/>
              <w:rPr>
                <w:color w:val="FFFFFF" w:themeColor="background1"/>
              </w:rPr>
            </w:pPr>
            <w:r>
              <w:rPr>
                <w:color w:val="FFFFFF" w:themeColor="background1"/>
              </w:rPr>
              <w:t>Budget/Funding</w:t>
            </w:r>
          </w:p>
        </w:tc>
        <w:tc>
          <w:tcPr>
            <w:tcW w:w="1975" w:type="dxa"/>
            <w:shd w:val="clear" w:color="auto" w:fill="4472C4" w:themeFill="accent1"/>
          </w:tcPr>
          <w:p w14:paraId="2BD5F733" w14:textId="77777777" w:rsidR="00EB3E02" w:rsidRPr="00D24FF3" w:rsidRDefault="00EB3E02" w:rsidP="00811E2A">
            <w:pPr>
              <w:pStyle w:val="NoSpacing"/>
              <w:rPr>
                <w:color w:val="FFFFFF" w:themeColor="background1"/>
              </w:rPr>
            </w:pPr>
            <w:r>
              <w:rPr>
                <w:color w:val="FFFFFF" w:themeColor="background1"/>
              </w:rPr>
              <w:t>Lead Agency/</w:t>
            </w:r>
            <w:proofErr w:type="spellStart"/>
            <w:r>
              <w:rPr>
                <w:color w:val="FFFFFF" w:themeColor="background1"/>
              </w:rPr>
              <w:t>ies</w:t>
            </w:r>
            <w:proofErr w:type="spellEnd"/>
          </w:p>
        </w:tc>
      </w:tr>
      <w:tr w:rsidR="00A016F9" w14:paraId="5588D9DA" w14:textId="77777777" w:rsidTr="00831983">
        <w:tc>
          <w:tcPr>
            <w:tcW w:w="2335" w:type="dxa"/>
          </w:tcPr>
          <w:p w14:paraId="249B1F5A" w14:textId="16F42C15" w:rsidR="00A016F9" w:rsidRDefault="00A016F9" w:rsidP="00A016F9">
            <w:pPr>
              <w:pStyle w:val="NoSpacing"/>
            </w:pPr>
            <w:r w:rsidRPr="00A016F9">
              <w:t>a. Percentage of UN Agencies who have appointed a dedicated PSEA technical focal point to the PSEA Network (principal and alternate) at mid-senior level</w:t>
            </w:r>
          </w:p>
        </w:tc>
        <w:tc>
          <w:tcPr>
            <w:tcW w:w="2508" w:type="dxa"/>
          </w:tcPr>
          <w:p w14:paraId="6E0E8CDE" w14:textId="55B11CA3" w:rsidR="00A016F9" w:rsidRDefault="00A016F9" w:rsidP="00A016F9">
            <w:pPr>
              <w:pStyle w:val="NoSpacing"/>
            </w:pPr>
            <w:r>
              <w:t>A</w:t>
            </w:r>
            <w:r w:rsidRPr="00A016F9">
              <w:t>ll UN Agencies have appointed PSEA Focal point/s (principal and alternate ideally international and national, at mid-senior level)</w:t>
            </w:r>
          </w:p>
        </w:tc>
        <w:tc>
          <w:tcPr>
            <w:tcW w:w="4872" w:type="dxa"/>
          </w:tcPr>
          <w:p w14:paraId="3F3F244C" w14:textId="2E2AA9C8" w:rsidR="00A016F9" w:rsidRDefault="00A016F9" w:rsidP="00A016F9">
            <w:pPr>
              <w:pStyle w:val="NoSpacing"/>
            </w:pPr>
            <w:r w:rsidRPr="00A016F9">
              <w:t>• Updated list of focal points disseminated among PSEA FPs</w:t>
            </w:r>
          </w:p>
        </w:tc>
        <w:tc>
          <w:tcPr>
            <w:tcW w:w="1170" w:type="dxa"/>
          </w:tcPr>
          <w:p w14:paraId="746056FD" w14:textId="5D044B87" w:rsidR="00A016F9" w:rsidRDefault="00A016F9" w:rsidP="00A016F9">
            <w:pPr>
              <w:pStyle w:val="NoSpacing"/>
            </w:pPr>
            <w:r>
              <w:t>All year</w:t>
            </w:r>
          </w:p>
        </w:tc>
        <w:tc>
          <w:tcPr>
            <w:tcW w:w="1620" w:type="dxa"/>
          </w:tcPr>
          <w:p w14:paraId="2EF630E1" w14:textId="08D2511D" w:rsidR="00A016F9" w:rsidRDefault="00A016F9" w:rsidP="00A016F9">
            <w:pPr>
              <w:pStyle w:val="NoSpacing"/>
            </w:pPr>
            <w:r>
              <w:t>N/A</w:t>
            </w:r>
          </w:p>
        </w:tc>
        <w:tc>
          <w:tcPr>
            <w:tcW w:w="1975" w:type="dxa"/>
          </w:tcPr>
          <w:p w14:paraId="35BE0314" w14:textId="70B86CF0" w:rsidR="00A016F9" w:rsidRDefault="00A016F9" w:rsidP="00A016F9">
            <w:pPr>
              <w:spacing w:line="259" w:lineRule="auto"/>
            </w:pPr>
            <w:r>
              <w:t>Each UN Agency</w:t>
            </w:r>
          </w:p>
        </w:tc>
      </w:tr>
    </w:tbl>
    <w:p w14:paraId="66651D4D" w14:textId="77777777" w:rsidR="00545080" w:rsidRDefault="00545080" w:rsidP="00545080">
      <w:pPr>
        <w:pStyle w:val="NoSpacing"/>
        <w:rPr>
          <w:b/>
          <w:bCs/>
        </w:rPr>
      </w:pPr>
    </w:p>
    <w:p w14:paraId="51D83700" w14:textId="60D4FFC5" w:rsidR="00545080" w:rsidRPr="00D24FF3" w:rsidRDefault="00545080" w:rsidP="00545080">
      <w:pPr>
        <w:pStyle w:val="NoSpacing"/>
        <w:rPr>
          <w:b/>
          <w:bCs/>
        </w:rPr>
      </w:pPr>
      <w:r w:rsidRPr="00D24FF3">
        <w:rPr>
          <w:b/>
          <w:bCs/>
        </w:rPr>
        <w:t xml:space="preserve">Output </w:t>
      </w:r>
      <w:r w:rsidRPr="005D5943">
        <w:rPr>
          <w:b/>
          <w:bCs/>
        </w:rPr>
        <w:t>5.</w:t>
      </w:r>
      <w:r>
        <w:rPr>
          <w:b/>
          <w:bCs/>
        </w:rPr>
        <w:t xml:space="preserve">5 </w:t>
      </w:r>
      <w:r w:rsidRPr="00D227EB">
        <w:rPr>
          <w:b/>
          <w:bCs/>
        </w:rPr>
        <w:t>A sexual exploitation and abuse risk management approach, including use of a risk register and workplan or action plan, is in place</w:t>
      </w:r>
      <w:r>
        <w:rPr>
          <w:b/>
          <w:bCs/>
        </w:rPr>
        <w:t>.</w:t>
      </w:r>
    </w:p>
    <w:tbl>
      <w:tblPr>
        <w:tblStyle w:val="TableGrid"/>
        <w:tblW w:w="0" w:type="auto"/>
        <w:tblCellMar>
          <w:left w:w="72" w:type="dxa"/>
          <w:right w:w="72" w:type="dxa"/>
        </w:tblCellMar>
        <w:tblLook w:val="04A0" w:firstRow="1" w:lastRow="0" w:firstColumn="1" w:lastColumn="0" w:noHBand="0" w:noVBand="1"/>
      </w:tblPr>
      <w:tblGrid>
        <w:gridCol w:w="2335"/>
        <w:gridCol w:w="2508"/>
        <w:gridCol w:w="4872"/>
        <w:gridCol w:w="1170"/>
        <w:gridCol w:w="1620"/>
        <w:gridCol w:w="1975"/>
      </w:tblGrid>
      <w:tr w:rsidR="00545080" w:rsidRPr="00D24FF3" w14:paraId="7AA04E40" w14:textId="77777777" w:rsidTr="00BE3A61">
        <w:trPr>
          <w:tblHeader/>
        </w:trPr>
        <w:tc>
          <w:tcPr>
            <w:tcW w:w="2335" w:type="dxa"/>
            <w:shd w:val="clear" w:color="auto" w:fill="4472C4" w:themeFill="accent1"/>
          </w:tcPr>
          <w:p w14:paraId="6EC2E386" w14:textId="77777777" w:rsidR="00545080" w:rsidRPr="00D24FF3" w:rsidRDefault="00545080" w:rsidP="00BE3A61">
            <w:pPr>
              <w:pStyle w:val="NoSpacing"/>
              <w:rPr>
                <w:color w:val="FFFFFF" w:themeColor="background1"/>
              </w:rPr>
            </w:pPr>
            <w:r>
              <w:rPr>
                <w:color w:val="FFFFFF" w:themeColor="background1"/>
              </w:rPr>
              <w:t>Indicator</w:t>
            </w:r>
          </w:p>
        </w:tc>
        <w:tc>
          <w:tcPr>
            <w:tcW w:w="2508" w:type="dxa"/>
            <w:shd w:val="clear" w:color="auto" w:fill="4472C4" w:themeFill="accent1"/>
          </w:tcPr>
          <w:p w14:paraId="459F746E" w14:textId="77777777" w:rsidR="00545080" w:rsidRPr="00D24FF3" w:rsidRDefault="00545080" w:rsidP="00BE3A61">
            <w:pPr>
              <w:pStyle w:val="NoSpacing"/>
              <w:rPr>
                <w:color w:val="FFFFFF" w:themeColor="background1"/>
              </w:rPr>
            </w:pPr>
            <w:r>
              <w:rPr>
                <w:color w:val="FFFFFF" w:themeColor="background1"/>
              </w:rPr>
              <w:t>Target/Benchmark</w:t>
            </w:r>
          </w:p>
        </w:tc>
        <w:tc>
          <w:tcPr>
            <w:tcW w:w="4872" w:type="dxa"/>
            <w:shd w:val="clear" w:color="auto" w:fill="4472C4" w:themeFill="accent1"/>
          </w:tcPr>
          <w:p w14:paraId="11427768" w14:textId="77777777" w:rsidR="00545080" w:rsidRPr="00D24FF3" w:rsidRDefault="00545080" w:rsidP="00BE3A61">
            <w:pPr>
              <w:pStyle w:val="NoSpacing"/>
              <w:rPr>
                <w:color w:val="FFFFFF" w:themeColor="background1"/>
              </w:rPr>
            </w:pPr>
            <w:r>
              <w:rPr>
                <w:color w:val="FFFFFF" w:themeColor="background1"/>
              </w:rPr>
              <w:t>Key Action</w:t>
            </w:r>
          </w:p>
        </w:tc>
        <w:tc>
          <w:tcPr>
            <w:tcW w:w="1170" w:type="dxa"/>
            <w:shd w:val="clear" w:color="auto" w:fill="4472C4" w:themeFill="accent1"/>
          </w:tcPr>
          <w:p w14:paraId="3DEB8349" w14:textId="77777777" w:rsidR="00545080" w:rsidRPr="00D24FF3" w:rsidRDefault="00545080" w:rsidP="00BE3A61">
            <w:pPr>
              <w:pStyle w:val="NoSpacing"/>
              <w:rPr>
                <w:color w:val="FFFFFF" w:themeColor="background1"/>
              </w:rPr>
            </w:pPr>
            <w:r>
              <w:rPr>
                <w:color w:val="FFFFFF" w:themeColor="background1"/>
              </w:rPr>
              <w:t>Timeframe</w:t>
            </w:r>
          </w:p>
        </w:tc>
        <w:tc>
          <w:tcPr>
            <w:tcW w:w="1620" w:type="dxa"/>
            <w:shd w:val="clear" w:color="auto" w:fill="4472C4" w:themeFill="accent1"/>
          </w:tcPr>
          <w:p w14:paraId="0F184B55" w14:textId="77777777" w:rsidR="00545080" w:rsidRPr="00D24FF3" w:rsidRDefault="00545080" w:rsidP="00BE3A61">
            <w:pPr>
              <w:pStyle w:val="NoSpacing"/>
              <w:rPr>
                <w:color w:val="FFFFFF" w:themeColor="background1"/>
              </w:rPr>
            </w:pPr>
            <w:r>
              <w:rPr>
                <w:color w:val="FFFFFF" w:themeColor="background1"/>
              </w:rPr>
              <w:t>Budget/Funding</w:t>
            </w:r>
          </w:p>
        </w:tc>
        <w:tc>
          <w:tcPr>
            <w:tcW w:w="1975" w:type="dxa"/>
            <w:shd w:val="clear" w:color="auto" w:fill="4472C4" w:themeFill="accent1"/>
          </w:tcPr>
          <w:p w14:paraId="320EBE1E" w14:textId="77777777" w:rsidR="00545080" w:rsidRPr="00D24FF3" w:rsidRDefault="00545080" w:rsidP="00BE3A61">
            <w:pPr>
              <w:pStyle w:val="NoSpacing"/>
              <w:rPr>
                <w:color w:val="FFFFFF" w:themeColor="background1"/>
              </w:rPr>
            </w:pPr>
            <w:r>
              <w:rPr>
                <w:color w:val="FFFFFF" w:themeColor="background1"/>
              </w:rPr>
              <w:t>Lead Agency/</w:t>
            </w:r>
            <w:proofErr w:type="spellStart"/>
            <w:r>
              <w:rPr>
                <w:color w:val="FFFFFF" w:themeColor="background1"/>
              </w:rPr>
              <w:t>ies</w:t>
            </w:r>
            <w:proofErr w:type="spellEnd"/>
          </w:p>
        </w:tc>
      </w:tr>
      <w:tr w:rsidR="00545080" w14:paraId="3BDC305F" w14:textId="77777777" w:rsidTr="00BE3A61">
        <w:tc>
          <w:tcPr>
            <w:tcW w:w="2335" w:type="dxa"/>
          </w:tcPr>
          <w:p w14:paraId="72E6E6C8" w14:textId="77777777" w:rsidR="00545080" w:rsidRDefault="00545080" w:rsidP="00BE3A61">
            <w:pPr>
              <w:pStyle w:val="NoSpacing"/>
            </w:pPr>
            <w:r>
              <w:t>a</w:t>
            </w:r>
            <w:r w:rsidRPr="0049397F">
              <w:t>. A joint inter-agency risk assessment has been undertaken</w:t>
            </w:r>
          </w:p>
        </w:tc>
        <w:tc>
          <w:tcPr>
            <w:tcW w:w="2508" w:type="dxa"/>
          </w:tcPr>
          <w:p w14:paraId="1F30787A" w14:textId="77777777" w:rsidR="00545080" w:rsidRDefault="00545080" w:rsidP="00BE3A61">
            <w:pPr>
              <w:pStyle w:val="NoSpacing"/>
            </w:pPr>
            <w:r w:rsidRPr="0049397F">
              <w:t>A joint assessment has been undertaken and the risks inform the planning of agencies</w:t>
            </w:r>
          </w:p>
        </w:tc>
        <w:tc>
          <w:tcPr>
            <w:tcW w:w="4872" w:type="dxa"/>
          </w:tcPr>
          <w:p w14:paraId="218A9080" w14:textId="77777777" w:rsidR="00545080" w:rsidRDefault="00545080" w:rsidP="00BE3A61">
            <w:pPr>
              <w:pStyle w:val="NoSpacing"/>
            </w:pPr>
            <w:r>
              <w:t>• The PSEA Network carries out a joint SEA risk assessments and shares the findings and recommendations with the UNCT</w:t>
            </w:r>
          </w:p>
        </w:tc>
        <w:tc>
          <w:tcPr>
            <w:tcW w:w="1170" w:type="dxa"/>
          </w:tcPr>
          <w:p w14:paraId="5BD65078" w14:textId="77777777" w:rsidR="00545080" w:rsidRDefault="00545080" w:rsidP="00BE3A61">
            <w:pPr>
              <w:pStyle w:val="NoSpacing"/>
            </w:pPr>
            <w:r>
              <w:t>Q1</w:t>
            </w:r>
          </w:p>
        </w:tc>
        <w:tc>
          <w:tcPr>
            <w:tcW w:w="1620" w:type="dxa"/>
          </w:tcPr>
          <w:p w14:paraId="47DA00DB" w14:textId="77777777" w:rsidR="00545080" w:rsidRDefault="00545080" w:rsidP="00BE3A61">
            <w:pPr>
              <w:pStyle w:val="NoSpacing"/>
            </w:pPr>
            <w:r>
              <w:t>Internal Resources</w:t>
            </w:r>
          </w:p>
        </w:tc>
        <w:tc>
          <w:tcPr>
            <w:tcW w:w="1975" w:type="dxa"/>
          </w:tcPr>
          <w:p w14:paraId="115FB5AA" w14:textId="77777777" w:rsidR="00545080" w:rsidRDefault="00545080" w:rsidP="00BE3A61">
            <w:r>
              <w:t>UN agencies / Joint through PSEA</w:t>
            </w:r>
          </w:p>
          <w:p w14:paraId="1FC90803" w14:textId="77777777" w:rsidR="00545080" w:rsidRDefault="00545080" w:rsidP="00BE3A61">
            <w:r>
              <w:t>Network/ PSEA</w:t>
            </w:r>
          </w:p>
          <w:p w14:paraId="7E4518FA" w14:textId="77777777" w:rsidR="00545080" w:rsidRDefault="00545080" w:rsidP="00BE3A61">
            <w:pPr>
              <w:spacing w:line="259" w:lineRule="auto"/>
            </w:pPr>
            <w:r>
              <w:t>Coordinator</w:t>
            </w:r>
          </w:p>
        </w:tc>
      </w:tr>
      <w:tr w:rsidR="00545080" w14:paraId="6220211C" w14:textId="77777777" w:rsidTr="00BE3A61">
        <w:tc>
          <w:tcPr>
            <w:tcW w:w="2335" w:type="dxa"/>
          </w:tcPr>
          <w:p w14:paraId="0938889A" w14:textId="77777777" w:rsidR="00545080" w:rsidRDefault="00545080" w:rsidP="00BE3A61">
            <w:pPr>
              <w:pStyle w:val="NoSpacing"/>
            </w:pPr>
            <w:r w:rsidRPr="004F389F">
              <w:t xml:space="preserve">b. Country-level risk assessments in respect </w:t>
            </w:r>
            <w:r>
              <w:t xml:space="preserve">to </w:t>
            </w:r>
            <w:r w:rsidRPr="004F389F">
              <w:t>SEA are conducted by individual agencies</w:t>
            </w:r>
          </w:p>
        </w:tc>
        <w:tc>
          <w:tcPr>
            <w:tcW w:w="2508" w:type="dxa"/>
          </w:tcPr>
          <w:p w14:paraId="58DD387C" w14:textId="77777777" w:rsidR="00545080" w:rsidRPr="0049397F" w:rsidRDefault="00545080" w:rsidP="00BE3A61">
            <w:pPr>
              <w:pStyle w:val="NoSpacing"/>
            </w:pPr>
            <w:r w:rsidRPr="004F389F">
              <w:t>UN agencies are supporting risk and mainstreaming PSEA to monitor risks regularl</w:t>
            </w:r>
            <w:r>
              <w:t>y</w:t>
            </w:r>
          </w:p>
        </w:tc>
        <w:tc>
          <w:tcPr>
            <w:tcW w:w="4872" w:type="dxa"/>
          </w:tcPr>
          <w:p w14:paraId="39CCE442" w14:textId="77777777" w:rsidR="00545080" w:rsidRDefault="00545080" w:rsidP="00BE3A61">
            <w:pPr>
              <w:pStyle w:val="NoSpacing"/>
            </w:pPr>
            <w:r>
              <w:t>• Comprehensive and/or Sectoral risk assessments conducted regularly</w:t>
            </w:r>
          </w:p>
          <w:p w14:paraId="045D9172" w14:textId="77777777" w:rsidR="00545080" w:rsidRDefault="00545080" w:rsidP="00BE3A61">
            <w:pPr>
              <w:pStyle w:val="NoSpacing"/>
            </w:pPr>
            <w:r>
              <w:t xml:space="preserve">a. </w:t>
            </w:r>
            <w:hyperlink r:id="rId8" w:history="1">
              <w:r w:rsidRPr="00D73D3C">
                <w:rPr>
                  <w:rStyle w:val="Hyperlink"/>
                </w:rPr>
                <w:t>Misconduct Risk Management Tool</w:t>
              </w:r>
            </w:hyperlink>
          </w:p>
          <w:p w14:paraId="14A1713F" w14:textId="77777777" w:rsidR="00545080" w:rsidRDefault="00545080" w:rsidP="00BE3A61">
            <w:pPr>
              <w:pStyle w:val="NoSpacing"/>
            </w:pPr>
            <w:r>
              <w:t xml:space="preserve">b. </w:t>
            </w:r>
            <w:hyperlink r:id="rId9" w:history="1">
              <w:r w:rsidRPr="00D73D3C">
                <w:rPr>
                  <w:rStyle w:val="Hyperlink"/>
                </w:rPr>
                <w:t>Sexual Exploitation and Abuse Risk Management Toolkit</w:t>
              </w:r>
            </w:hyperlink>
            <w:r>
              <w:t>, including use of a risk register and workplan</w:t>
            </w:r>
          </w:p>
        </w:tc>
        <w:tc>
          <w:tcPr>
            <w:tcW w:w="1170" w:type="dxa"/>
          </w:tcPr>
          <w:p w14:paraId="10824585" w14:textId="77777777" w:rsidR="00545080" w:rsidRDefault="00545080" w:rsidP="00BE3A61">
            <w:pPr>
              <w:pStyle w:val="NoSpacing"/>
            </w:pPr>
            <w:r>
              <w:t>All year</w:t>
            </w:r>
          </w:p>
        </w:tc>
        <w:tc>
          <w:tcPr>
            <w:tcW w:w="1620" w:type="dxa"/>
          </w:tcPr>
          <w:p w14:paraId="70B1CBAA" w14:textId="77777777" w:rsidR="00545080" w:rsidRDefault="00545080" w:rsidP="00BE3A61">
            <w:pPr>
              <w:pStyle w:val="NoSpacing"/>
            </w:pPr>
            <w:r>
              <w:t>N/A</w:t>
            </w:r>
          </w:p>
        </w:tc>
        <w:tc>
          <w:tcPr>
            <w:tcW w:w="1975" w:type="dxa"/>
          </w:tcPr>
          <w:p w14:paraId="6FDF3C7B" w14:textId="77777777" w:rsidR="00545080" w:rsidRDefault="00545080" w:rsidP="00BE3A61">
            <w:r>
              <w:t>UNCT with the support of the PSEA Network</w:t>
            </w:r>
          </w:p>
        </w:tc>
      </w:tr>
      <w:tr w:rsidR="00545080" w14:paraId="434571A2" w14:textId="77777777" w:rsidTr="00BE3A61">
        <w:tc>
          <w:tcPr>
            <w:tcW w:w="2335" w:type="dxa"/>
          </w:tcPr>
          <w:p w14:paraId="05A314B4" w14:textId="374233B9" w:rsidR="00545080" w:rsidRPr="004F389F" w:rsidRDefault="00545080" w:rsidP="00BE3A61">
            <w:pPr>
              <w:pStyle w:val="NoSpacing"/>
            </w:pPr>
            <w:r w:rsidRPr="00B340CE">
              <w:t xml:space="preserve">c. The extent to which identified risks are incorporated in the planning </w:t>
            </w:r>
            <w:r w:rsidR="00F5609A">
              <w:t>or</w:t>
            </w:r>
            <w:r w:rsidRPr="00B340CE">
              <w:t xml:space="preserve"> programme</w:t>
            </w:r>
            <w:r w:rsidR="00F5609A">
              <w:t xml:space="preserve"> </w:t>
            </w:r>
            <w:r w:rsidRPr="00B340CE">
              <w:t>management</w:t>
            </w:r>
          </w:p>
        </w:tc>
        <w:tc>
          <w:tcPr>
            <w:tcW w:w="2508" w:type="dxa"/>
          </w:tcPr>
          <w:p w14:paraId="5C5DF596" w14:textId="77777777" w:rsidR="00545080" w:rsidRPr="004F389F" w:rsidRDefault="00545080" w:rsidP="00BE3A61">
            <w:pPr>
              <w:pStyle w:val="NoSpacing"/>
            </w:pPr>
            <w:r w:rsidRPr="00B340CE">
              <w:t>UN agencies are supporting to integrate the PSEA risk matrix in their programme and operational wor</w:t>
            </w:r>
            <w:r>
              <w:t>k</w:t>
            </w:r>
          </w:p>
        </w:tc>
        <w:tc>
          <w:tcPr>
            <w:tcW w:w="4872" w:type="dxa"/>
          </w:tcPr>
          <w:p w14:paraId="1BA35E2D" w14:textId="77777777" w:rsidR="00545080" w:rsidRDefault="00545080" w:rsidP="00BE3A61">
            <w:pPr>
              <w:pStyle w:val="NoSpacing"/>
            </w:pPr>
            <w:r w:rsidRPr="00B340CE">
              <w:t>• Sensitize M&amp;E personnel about the PSEA risk matrix to integrate PSEA lens in safety audits or other assessments</w:t>
            </w:r>
          </w:p>
        </w:tc>
        <w:tc>
          <w:tcPr>
            <w:tcW w:w="1170" w:type="dxa"/>
          </w:tcPr>
          <w:p w14:paraId="6560A04A" w14:textId="77777777" w:rsidR="00545080" w:rsidRDefault="00545080" w:rsidP="00BE3A61">
            <w:pPr>
              <w:pStyle w:val="NoSpacing"/>
            </w:pPr>
            <w:r>
              <w:t>All year</w:t>
            </w:r>
          </w:p>
        </w:tc>
        <w:tc>
          <w:tcPr>
            <w:tcW w:w="1620" w:type="dxa"/>
          </w:tcPr>
          <w:p w14:paraId="46F21CB6" w14:textId="77777777" w:rsidR="00545080" w:rsidRDefault="00545080" w:rsidP="00BE3A61">
            <w:pPr>
              <w:pStyle w:val="NoSpacing"/>
            </w:pPr>
            <w:r>
              <w:t>N/A</w:t>
            </w:r>
          </w:p>
        </w:tc>
        <w:tc>
          <w:tcPr>
            <w:tcW w:w="1975" w:type="dxa"/>
          </w:tcPr>
          <w:p w14:paraId="51444630" w14:textId="77777777" w:rsidR="00545080" w:rsidRDefault="00545080" w:rsidP="00BE3A61">
            <w:r>
              <w:t>Un Agencies (Through PSEA FPs)</w:t>
            </w:r>
          </w:p>
        </w:tc>
      </w:tr>
    </w:tbl>
    <w:p w14:paraId="7E0A52F8" w14:textId="04139068" w:rsidR="00E41922" w:rsidRDefault="00E41922"/>
    <w:sectPr w:rsidR="00E41922" w:rsidSect="00AA19BC">
      <w:pgSz w:w="15840" w:h="12240" w:orient="landscape"/>
      <w:pgMar w:top="810" w:right="63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36741"/>
    <w:multiLevelType w:val="hybridMultilevel"/>
    <w:tmpl w:val="54FCD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83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13"/>
    <w:rsid w:val="00006BA2"/>
    <w:rsid w:val="0001055C"/>
    <w:rsid w:val="00012CB2"/>
    <w:rsid w:val="00025304"/>
    <w:rsid w:val="00060AD1"/>
    <w:rsid w:val="0007320A"/>
    <w:rsid w:val="0008620E"/>
    <w:rsid w:val="000A7E14"/>
    <w:rsid w:val="00113BB4"/>
    <w:rsid w:val="001143C6"/>
    <w:rsid w:val="00141413"/>
    <w:rsid w:val="0015389E"/>
    <w:rsid w:val="00163617"/>
    <w:rsid w:val="00173476"/>
    <w:rsid w:val="00180CC9"/>
    <w:rsid w:val="0019630D"/>
    <w:rsid w:val="001A196F"/>
    <w:rsid w:val="001A3153"/>
    <w:rsid w:val="00226395"/>
    <w:rsid w:val="00227118"/>
    <w:rsid w:val="002346C7"/>
    <w:rsid w:val="00241C69"/>
    <w:rsid w:val="00246D0D"/>
    <w:rsid w:val="0024782B"/>
    <w:rsid w:val="002656B7"/>
    <w:rsid w:val="002A351F"/>
    <w:rsid w:val="002B3C5D"/>
    <w:rsid w:val="002C01D4"/>
    <w:rsid w:val="002D0A23"/>
    <w:rsid w:val="002E1CF3"/>
    <w:rsid w:val="002E7AEA"/>
    <w:rsid w:val="002F2D24"/>
    <w:rsid w:val="00314C54"/>
    <w:rsid w:val="00322CE5"/>
    <w:rsid w:val="00344512"/>
    <w:rsid w:val="00347D7C"/>
    <w:rsid w:val="0036149A"/>
    <w:rsid w:val="00371F19"/>
    <w:rsid w:val="00380A42"/>
    <w:rsid w:val="0038626D"/>
    <w:rsid w:val="003907A2"/>
    <w:rsid w:val="003A2BC5"/>
    <w:rsid w:val="003B19D8"/>
    <w:rsid w:val="003D6E60"/>
    <w:rsid w:val="003D7263"/>
    <w:rsid w:val="003E54B9"/>
    <w:rsid w:val="003F10DC"/>
    <w:rsid w:val="00403F8D"/>
    <w:rsid w:val="004311F0"/>
    <w:rsid w:val="00447FC2"/>
    <w:rsid w:val="0045406B"/>
    <w:rsid w:val="004671D7"/>
    <w:rsid w:val="00467ABB"/>
    <w:rsid w:val="00470DC8"/>
    <w:rsid w:val="004732C6"/>
    <w:rsid w:val="004759E8"/>
    <w:rsid w:val="00490415"/>
    <w:rsid w:val="0049397F"/>
    <w:rsid w:val="004947E7"/>
    <w:rsid w:val="004B063D"/>
    <w:rsid w:val="004C0CD4"/>
    <w:rsid w:val="004E69BB"/>
    <w:rsid w:val="004F389F"/>
    <w:rsid w:val="004F6275"/>
    <w:rsid w:val="00507839"/>
    <w:rsid w:val="00542749"/>
    <w:rsid w:val="00545080"/>
    <w:rsid w:val="005648EE"/>
    <w:rsid w:val="00577625"/>
    <w:rsid w:val="005D177C"/>
    <w:rsid w:val="005D5943"/>
    <w:rsid w:val="00623806"/>
    <w:rsid w:val="006623DC"/>
    <w:rsid w:val="006A5FEF"/>
    <w:rsid w:val="006C1503"/>
    <w:rsid w:val="006D0569"/>
    <w:rsid w:val="006E1010"/>
    <w:rsid w:val="00713775"/>
    <w:rsid w:val="0076515C"/>
    <w:rsid w:val="007B6A05"/>
    <w:rsid w:val="007B7A44"/>
    <w:rsid w:val="007C159B"/>
    <w:rsid w:val="007C595D"/>
    <w:rsid w:val="00800F0B"/>
    <w:rsid w:val="00812803"/>
    <w:rsid w:val="00821E65"/>
    <w:rsid w:val="00831983"/>
    <w:rsid w:val="00835002"/>
    <w:rsid w:val="00856BAC"/>
    <w:rsid w:val="0086161D"/>
    <w:rsid w:val="00872A88"/>
    <w:rsid w:val="008B777F"/>
    <w:rsid w:val="008F031A"/>
    <w:rsid w:val="008F5C13"/>
    <w:rsid w:val="0091178B"/>
    <w:rsid w:val="00921BA6"/>
    <w:rsid w:val="00926BD0"/>
    <w:rsid w:val="00943F45"/>
    <w:rsid w:val="00986355"/>
    <w:rsid w:val="009A5629"/>
    <w:rsid w:val="009B2547"/>
    <w:rsid w:val="009C034E"/>
    <w:rsid w:val="009D61D0"/>
    <w:rsid w:val="009E166E"/>
    <w:rsid w:val="009F5ECF"/>
    <w:rsid w:val="00A016F9"/>
    <w:rsid w:val="00A21051"/>
    <w:rsid w:val="00A26D59"/>
    <w:rsid w:val="00A52A4E"/>
    <w:rsid w:val="00AA19BC"/>
    <w:rsid w:val="00AA4F26"/>
    <w:rsid w:val="00AC1F5A"/>
    <w:rsid w:val="00AD0374"/>
    <w:rsid w:val="00AD4464"/>
    <w:rsid w:val="00AE020E"/>
    <w:rsid w:val="00AF087A"/>
    <w:rsid w:val="00B340CE"/>
    <w:rsid w:val="00B374F4"/>
    <w:rsid w:val="00B53A8F"/>
    <w:rsid w:val="00B74023"/>
    <w:rsid w:val="00B7590B"/>
    <w:rsid w:val="00BA5EB0"/>
    <w:rsid w:val="00BC1520"/>
    <w:rsid w:val="00BD00AE"/>
    <w:rsid w:val="00BE5E65"/>
    <w:rsid w:val="00BF5CB0"/>
    <w:rsid w:val="00C121B2"/>
    <w:rsid w:val="00C15FA5"/>
    <w:rsid w:val="00C20983"/>
    <w:rsid w:val="00C2692D"/>
    <w:rsid w:val="00C436CF"/>
    <w:rsid w:val="00C64691"/>
    <w:rsid w:val="00C759FE"/>
    <w:rsid w:val="00CA11E6"/>
    <w:rsid w:val="00CC3349"/>
    <w:rsid w:val="00D214E4"/>
    <w:rsid w:val="00D227EB"/>
    <w:rsid w:val="00D24FF3"/>
    <w:rsid w:val="00D5324C"/>
    <w:rsid w:val="00D73719"/>
    <w:rsid w:val="00D73D3C"/>
    <w:rsid w:val="00D861CC"/>
    <w:rsid w:val="00D91678"/>
    <w:rsid w:val="00D93C58"/>
    <w:rsid w:val="00DA42D7"/>
    <w:rsid w:val="00DA7B76"/>
    <w:rsid w:val="00DC32C2"/>
    <w:rsid w:val="00DD20E3"/>
    <w:rsid w:val="00DD3840"/>
    <w:rsid w:val="00DE4007"/>
    <w:rsid w:val="00DE4822"/>
    <w:rsid w:val="00DF15AD"/>
    <w:rsid w:val="00E02B2F"/>
    <w:rsid w:val="00E41922"/>
    <w:rsid w:val="00E4583A"/>
    <w:rsid w:val="00EB08A9"/>
    <w:rsid w:val="00EB182C"/>
    <w:rsid w:val="00EB3E02"/>
    <w:rsid w:val="00ED0AF5"/>
    <w:rsid w:val="00EE2894"/>
    <w:rsid w:val="00EF4E0E"/>
    <w:rsid w:val="00F22B34"/>
    <w:rsid w:val="00F27FD4"/>
    <w:rsid w:val="00F32295"/>
    <w:rsid w:val="00F556EE"/>
    <w:rsid w:val="00F5609A"/>
    <w:rsid w:val="00F6322C"/>
    <w:rsid w:val="00F67A48"/>
    <w:rsid w:val="00F70166"/>
    <w:rsid w:val="00F7128E"/>
    <w:rsid w:val="00F95F65"/>
    <w:rsid w:val="00FA1343"/>
    <w:rsid w:val="00FC3D61"/>
    <w:rsid w:val="00FD68F7"/>
    <w:rsid w:val="00FF0178"/>
    <w:rsid w:val="023A0F8F"/>
    <w:rsid w:val="10CD810A"/>
    <w:rsid w:val="16B9F7ED"/>
    <w:rsid w:val="195E5C85"/>
    <w:rsid w:val="19BCF06F"/>
    <w:rsid w:val="1C10D864"/>
    <w:rsid w:val="1C69E17F"/>
    <w:rsid w:val="1FA98A2C"/>
    <w:rsid w:val="22F35FDB"/>
    <w:rsid w:val="241C5428"/>
    <w:rsid w:val="263E52F9"/>
    <w:rsid w:val="2698D3CA"/>
    <w:rsid w:val="26A1229D"/>
    <w:rsid w:val="2A1BC46F"/>
    <w:rsid w:val="2BFEACE6"/>
    <w:rsid w:val="338E85F6"/>
    <w:rsid w:val="386E445A"/>
    <w:rsid w:val="3B9113D8"/>
    <w:rsid w:val="3C40DBFB"/>
    <w:rsid w:val="3DAD83CB"/>
    <w:rsid w:val="3DB44166"/>
    <w:rsid w:val="43A4C2CB"/>
    <w:rsid w:val="43B8B1B6"/>
    <w:rsid w:val="47A7D550"/>
    <w:rsid w:val="4A26C44A"/>
    <w:rsid w:val="4C6C36AB"/>
    <w:rsid w:val="4CF05608"/>
    <w:rsid w:val="535E040D"/>
    <w:rsid w:val="568F1642"/>
    <w:rsid w:val="5BE1258F"/>
    <w:rsid w:val="5E94E4A4"/>
    <w:rsid w:val="6436A31C"/>
    <w:rsid w:val="6765F1B1"/>
    <w:rsid w:val="6A05F68E"/>
    <w:rsid w:val="6D6BC5A7"/>
    <w:rsid w:val="6E771C95"/>
    <w:rsid w:val="6FBE4CB2"/>
    <w:rsid w:val="7A65A3D3"/>
    <w:rsid w:val="7BE73358"/>
    <w:rsid w:val="7BFF1FEA"/>
    <w:rsid w:val="7D208C7E"/>
    <w:rsid w:val="7E2F51CF"/>
    <w:rsid w:val="7E9203A7"/>
    <w:rsid w:val="7F12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BBD2"/>
  <w15:chartTrackingRefBased/>
  <w15:docId w15:val="{5BE7ED80-9EF2-4BC3-AA6C-641D9C14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7C"/>
    <w:pPr>
      <w:spacing w:after="0" w:line="240" w:lineRule="auto"/>
    </w:pPr>
  </w:style>
  <w:style w:type="table" w:styleId="TableGrid">
    <w:name w:val="Table Grid"/>
    <w:basedOn w:val="TableNormal"/>
    <w:uiPriority w:val="39"/>
    <w:rsid w:val="00D24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3476"/>
    <w:rPr>
      <w:color w:val="0563C1" w:themeColor="hyperlink"/>
      <w:u w:val="single"/>
    </w:rPr>
  </w:style>
  <w:style w:type="character" w:styleId="UnresolvedMention">
    <w:name w:val="Unresolved Mention"/>
    <w:basedOn w:val="DefaultParagraphFont"/>
    <w:uiPriority w:val="99"/>
    <w:semiHidden/>
    <w:unhideWhenUsed/>
    <w:rsid w:val="00173476"/>
    <w:rPr>
      <w:color w:val="605E5C"/>
      <w:shd w:val="clear" w:color="auto" w:fill="E1DFDD"/>
    </w:rPr>
  </w:style>
  <w:style w:type="character" w:styleId="CommentReference">
    <w:name w:val="annotation reference"/>
    <w:basedOn w:val="DefaultParagraphFont"/>
    <w:uiPriority w:val="99"/>
    <w:semiHidden/>
    <w:unhideWhenUsed/>
    <w:rsid w:val="0086161D"/>
    <w:rPr>
      <w:sz w:val="16"/>
      <w:szCs w:val="16"/>
    </w:rPr>
  </w:style>
  <w:style w:type="paragraph" w:styleId="CommentText">
    <w:name w:val="annotation text"/>
    <w:basedOn w:val="Normal"/>
    <w:link w:val="CommentTextChar"/>
    <w:uiPriority w:val="99"/>
    <w:unhideWhenUsed/>
    <w:rsid w:val="0086161D"/>
    <w:pPr>
      <w:spacing w:line="240" w:lineRule="auto"/>
    </w:pPr>
    <w:rPr>
      <w:sz w:val="20"/>
      <w:szCs w:val="20"/>
    </w:rPr>
  </w:style>
  <w:style w:type="character" w:customStyle="1" w:styleId="CommentTextChar">
    <w:name w:val="Comment Text Char"/>
    <w:basedOn w:val="DefaultParagraphFont"/>
    <w:link w:val="CommentText"/>
    <w:uiPriority w:val="99"/>
    <w:rsid w:val="0086161D"/>
    <w:rPr>
      <w:sz w:val="20"/>
      <w:szCs w:val="20"/>
    </w:rPr>
  </w:style>
  <w:style w:type="paragraph" w:styleId="CommentSubject">
    <w:name w:val="annotation subject"/>
    <w:basedOn w:val="CommentText"/>
    <w:next w:val="CommentText"/>
    <w:link w:val="CommentSubjectChar"/>
    <w:uiPriority w:val="99"/>
    <w:semiHidden/>
    <w:unhideWhenUsed/>
    <w:rsid w:val="0086161D"/>
    <w:rPr>
      <w:b/>
      <w:bCs/>
    </w:rPr>
  </w:style>
  <w:style w:type="character" w:customStyle="1" w:styleId="CommentSubjectChar">
    <w:name w:val="Comment Subject Char"/>
    <w:basedOn w:val="CommentTextChar"/>
    <w:link w:val="CommentSubject"/>
    <w:uiPriority w:val="99"/>
    <w:semiHidden/>
    <w:rsid w:val="008616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duct.unmissions.org/sites/default/files/misconduct_risk_mngt_tools_consolidated_vf_24_09_2019.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rello.com/c/yViVZhyL/20-no-excuse-card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docs.org/ST/SGB/2017/2/Rev.1" TargetMode="External"/><Relationship Id="rId11" Type="http://schemas.openxmlformats.org/officeDocument/2006/relationships/theme" Target="theme/theme1.xml"/><Relationship Id="rId5" Type="http://schemas.openxmlformats.org/officeDocument/2006/relationships/hyperlink" Target="https://unsdg.un.org/resources/management-and-accountability-framework-un-development-and-resident-coordinator-syste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duct.unmissions.org/sites/default/files/dpko-dfs_sea_risk_toolkit_28_june_2018_modified.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CC1A4E03C2C4DB79B656679B000C1" ma:contentTypeVersion="19" ma:contentTypeDescription="Crée un document." ma:contentTypeScope="" ma:versionID="2b215e63a037cc32e5046eaa613ca3ff">
  <xsd:schema xmlns:xsd="http://www.w3.org/2001/XMLSchema" xmlns:xs="http://www.w3.org/2001/XMLSchema" xmlns:p="http://schemas.microsoft.com/office/2006/metadata/properties" xmlns:ns2="f49fbb55-275e-4e94-96c9-44f4aab310ea" xmlns:ns3="76baa36f-e57b-4c69-9526-73663b0c69b3" xmlns:ns4="985ec44e-1bab-4c0b-9df0-6ba128686fc9" targetNamespace="http://schemas.microsoft.com/office/2006/metadata/properties" ma:root="true" ma:fieldsID="8c3ff8ab2bae75bd0f91679be31f9bc1" ns2:_="" ns3:_="" ns4:_="">
    <xsd:import namespace="f49fbb55-275e-4e94-96c9-44f4aab310ea"/>
    <xsd:import namespace="76baa36f-e57b-4c69-9526-73663b0c69b3"/>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escriptionofcontent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fbb55-275e-4e94-96c9-44f4aab31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scriptionofcontents" ma:index="19" nillable="true" ma:displayName="List of contents " ma:format="Dropdown" ma:internalName="Descriptionofcont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aa36f-e57b-4c69-9526-73663b0c69b3"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5fca2-add7-4175-a175-34eea05fc1ee}" ma:internalName="TaxCatchAll" ma:showField="CatchAllData" ma:web="76baa36f-e57b-4c69-9526-73663b0c6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49fbb55-275e-4e94-96c9-44f4aab310ea">
      <Terms xmlns="http://schemas.microsoft.com/office/infopath/2007/PartnerControls"/>
    </lcf76f155ced4ddcb4097134ff3c332f>
    <Descriptionofcontents xmlns="f49fbb55-275e-4e94-96c9-44f4aab310ea" xsi:nil="true"/>
  </documentManagement>
</p:properties>
</file>

<file path=customXml/itemProps1.xml><?xml version="1.0" encoding="utf-8"?>
<ds:datastoreItem xmlns:ds="http://schemas.openxmlformats.org/officeDocument/2006/customXml" ds:itemID="{7CE86FDD-C913-438F-AFF4-DAD7DA18AE16}"/>
</file>

<file path=customXml/itemProps2.xml><?xml version="1.0" encoding="utf-8"?>
<ds:datastoreItem xmlns:ds="http://schemas.openxmlformats.org/officeDocument/2006/customXml" ds:itemID="{0B7F108B-4CD6-44A5-9729-F230BAAE450F}"/>
</file>

<file path=customXml/itemProps3.xml><?xml version="1.0" encoding="utf-8"?>
<ds:datastoreItem xmlns:ds="http://schemas.openxmlformats.org/officeDocument/2006/customXml" ds:itemID="{323697C0-C7A7-401F-9878-A8E1571AC005}"/>
</file>

<file path=docProps/app.xml><?xml version="1.0" encoding="utf-8"?>
<Properties xmlns="http://schemas.openxmlformats.org/officeDocument/2006/extended-properties" xmlns:vt="http://schemas.openxmlformats.org/officeDocument/2006/docPropsVTypes">
  <Template>Normal</Template>
  <TotalTime>3</TotalTime>
  <Pages>10</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Elter</dc:creator>
  <cp:keywords/>
  <dc:description/>
  <cp:lastModifiedBy>Sofia CANOVAS PEREDA</cp:lastModifiedBy>
  <cp:revision>2</cp:revision>
  <dcterms:created xsi:type="dcterms:W3CDTF">2023-12-29T15:12:00Z</dcterms:created>
  <dcterms:modified xsi:type="dcterms:W3CDTF">2023-12-29T15:12:00Z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0x010100C1BCC1A4E03C2C4DB79B656679B000C1</vt:lpwstr>
  </property>
</Properties>
</file>