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B746" w14:textId="2B17BD6B" w:rsidR="006A39E6" w:rsidRPr="005E56C5" w:rsidRDefault="006A39E6" w:rsidP="006A39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Country</w:t>
      </w:r>
      <w:r w:rsidR="00F96373"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-</w:t>
      </w:r>
      <w:r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Level</w:t>
      </w:r>
      <w:r w:rsidR="00604949"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Action Plan to Prevent and Respond</w:t>
      </w:r>
      <w:r w:rsidR="00604949"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to Sexual Exploitation and Abuse</w:t>
      </w:r>
    </w:p>
    <w:p w14:paraId="2E5FB62C" w14:textId="37621EE9" w:rsidR="006A39E6" w:rsidRDefault="00212BB5" w:rsidP="00DD5CD4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SOMALIA 2022</w:t>
      </w:r>
      <w:r w:rsidR="005E56C5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/2023</w:t>
      </w:r>
    </w:p>
    <w:p w14:paraId="3AB0A1C0" w14:textId="4E64B71A" w:rsidR="00373015" w:rsidRPr="005E56C5" w:rsidRDefault="00A912E7" w:rsidP="00F22AD1">
      <w:pPr>
        <w:pStyle w:val="paragraph"/>
        <w:rPr>
          <w:rFonts w:asciiTheme="minorHAnsi" w:hAnsiTheme="minorHAnsi" w:cstheme="minorHAnsi"/>
          <w:b/>
          <w:bCs/>
          <w:i/>
          <w:iCs/>
          <w:sz w:val="20"/>
        </w:rPr>
      </w:pPr>
      <w:r w:rsidRPr="00A912E7">
        <w:rPr>
          <w:rFonts w:asciiTheme="minorHAnsi" w:hAnsiTheme="minorHAnsi" w:cstheme="minorHAnsi"/>
          <w:b/>
          <w:bCs/>
          <w:i/>
          <w:iCs/>
          <w:sz w:val="20"/>
        </w:rPr>
        <w:t>The PSEA Country-Level model template outlines the priorities agreed by UNCT/HCT members to achieve jointly across countries with humanitarian</w:t>
      </w:r>
      <w:r w:rsidRPr="00A912E7">
        <w:rPr>
          <w:rFonts w:asciiTheme="minorHAnsi" w:hAnsiTheme="minorHAnsi" w:cstheme="minorHAnsi"/>
          <w:b/>
          <w:i/>
          <w:sz w:val="20"/>
          <w:vertAlign w:val="superscript"/>
        </w:rPr>
        <w:footnoteReference w:id="2"/>
      </w:r>
      <w:r w:rsidRPr="00A912E7">
        <w:rPr>
          <w:rFonts w:asciiTheme="minorHAnsi" w:hAnsiTheme="minorHAnsi" w:cstheme="minorHAnsi"/>
          <w:b/>
          <w:bCs/>
          <w:i/>
          <w:iCs/>
          <w:sz w:val="20"/>
        </w:rPr>
        <w:t xml:space="preserve">, development and peace operations. </w:t>
      </w:r>
      <w:r w:rsidRPr="00A912E7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 xml:space="preserve">This template provides the minimum requirements to review and analyse the effectiveness, impact and progress on measures to prevent and respond to sexual exploitation abuse </w:t>
      </w:r>
      <w:proofErr w:type="gramStart"/>
      <w:r w:rsidRPr="00A912E7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country-wide</w:t>
      </w:r>
      <w:proofErr w:type="gramEnd"/>
      <w:r w:rsidRPr="00A912E7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 xml:space="preserve">. </w:t>
      </w:r>
      <w:r w:rsidRPr="00A912E7">
        <w:rPr>
          <w:rFonts w:asciiTheme="minorHAnsi" w:hAnsiTheme="minorHAnsi" w:cstheme="minorHAnsi"/>
          <w:b/>
          <w:bCs/>
          <w:i/>
          <w:iCs/>
          <w:sz w:val="20"/>
        </w:rPr>
        <w:t>It serves as a model framework intended to be adapted and contextualized at the country level. The objective is to promote and document harmonized activities that contribute to implementing a robust action plan and provide the basis for tracking progress and provision/mobilization of required resources in related to PSEA in countries with United Nations presence.</w:t>
      </w:r>
      <w:bookmarkStart w:id="0" w:name="_Hlk67467397"/>
    </w:p>
    <w:tbl>
      <w:tblPr>
        <w:tblStyle w:val="TableGrid1"/>
        <w:tblW w:w="15588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260"/>
        <w:gridCol w:w="1706"/>
        <w:gridCol w:w="1271"/>
        <w:gridCol w:w="1275"/>
        <w:gridCol w:w="1418"/>
      </w:tblGrid>
      <w:tr w:rsidR="005E56C5" w:rsidRPr="005E56C5" w14:paraId="7A4B72DE" w14:textId="1A132031" w:rsidTr="7B05422E">
        <w:trPr>
          <w:trHeight w:val="555"/>
          <w:tblHeader/>
        </w:trPr>
        <w:tc>
          <w:tcPr>
            <w:tcW w:w="3114" w:type="dxa"/>
            <w:shd w:val="clear" w:color="auto" w:fill="365F91" w:themeFill="accent1" w:themeFillShade="BF"/>
            <w:vAlign w:val="center"/>
          </w:tcPr>
          <w:bookmarkEnd w:id="0"/>
          <w:p w14:paraId="39EBFF12" w14:textId="7F77D11C" w:rsidR="00075723" w:rsidRPr="005E56C5" w:rsidRDefault="005E4EB1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Desired outcomes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2DA51E85" w14:textId="28B66A6E" w:rsidR="00075723" w:rsidRPr="005E56C5" w:rsidRDefault="009A3B4B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I</w:t>
            </w:r>
            <w:r w:rsidR="00075723" w:rsidRPr="005E56C5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ndicators</w:t>
            </w:r>
          </w:p>
        </w:tc>
        <w:tc>
          <w:tcPr>
            <w:tcW w:w="3260" w:type="dxa"/>
            <w:shd w:val="clear" w:color="auto" w:fill="365F91" w:themeFill="accent1" w:themeFillShade="BF"/>
            <w:vAlign w:val="center"/>
          </w:tcPr>
          <w:p w14:paraId="7F55CBDC" w14:textId="04EFCB07" w:rsidR="00075723" w:rsidRPr="005E56C5" w:rsidRDefault="00075723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Targets/ Benchma</w:t>
            </w:r>
            <w:r w:rsidR="00663225" w:rsidRPr="005E56C5">
              <w:rPr>
                <w:rFonts w:asciiTheme="minorHAnsi" w:hAnsiTheme="minorHAnsi" w:cstheme="minorHAnsi"/>
                <w:b/>
                <w:color w:val="auto"/>
              </w:rPr>
              <w:t>rks</w:t>
            </w:r>
            <w:r w:rsidR="001E67A8" w:rsidRPr="005E56C5">
              <w:rPr>
                <w:rStyle w:val="Rimandonotaapidipagina"/>
                <w:rFonts w:asciiTheme="minorHAnsi" w:hAnsiTheme="minorHAnsi" w:cstheme="minorHAnsi"/>
                <w:b/>
                <w:color w:val="auto"/>
              </w:rPr>
              <w:footnoteReference w:id="3"/>
            </w:r>
          </w:p>
        </w:tc>
        <w:tc>
          <w:tcPr>
            <w:tcW w:w="1706" w:type="dxa"/>
            <w:shd w:val="clear" w:color="auto" w:fill="365F91" w:themeFill="accent1" w:themeFillShade="BF"/>
            <w:vAlign w:val="center"/>
          </w:tcPr>
          <w:p w14:paraId="72FD4BA2" w14:textId="568EDF25" w:rsidR="00075723" w:rsidRPr="005E56C5" w:rsidRDefault="00075723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Key actions</w:t>
            </w:r>
          </w:p>
        </w:tc>
        <w:tc>
          <w:tcPr>
            <w:tcW w:w="1271" w:type="dxa"/>
            <w:shd w:val="clear" w:color="auto" w:fill="365F91" w:themeFill="accent1" w:themeFillShade="BF"/>
            <w:vAlign w:val="center"/>
          </w:tcPr>
          <w:p w14:paraId="6A6E9350" w14:textId="06EECBB4" w:rsidR="00075723" w:rsidRPr="005E56C5" w:rsidRDefault="00075723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Timeframe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14:paraId="7DD21C7D" w14:textId="3517F8D3" w:rsidR="00075723" w:rsidRPr="005E56C5" w:rsidRDefault="00075723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Budget/ Funding Source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3A912149" w14:textId="77777777" w:rsidR="0065681C" w:rsidRPr="005E56C5" w:rsidRDefault="00075723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Lead agency/</w:t>
            </w:r>
            <w:proofErr w:type="spellStart"/>
            <w:r w:rsidRPr="005E56C5">
              <w:rPr>
                <w:rFonts w:asciiTheme="minorHAnsi" w:hAnsiTheme="minorHAnsi" w:cstheme="minorHAnsi"/>
                <w:b/>
                <w:color w:val="auto"/>
              </w:rPr>
              <w:t>ies</w:t>
            </w:r>
            <w:proofErr w:type="spellEnd"/>
          </w:p>
          <w:p w14:paraId="6AC6A9ED" w14:textId="6DF6C71A" w:rsidR="00075723" w:rsidRPr="005E56C5" w:rsidRDefault="00765D75" w:rsidP="008633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per </w:t>
            </w:r>
            <w:r w:rsidR="00476DA7" w:rsidRPr="005E56C5">
              <w:rPr>
                <w:rFonts w:asciiTheme="minorHAnsi" w:hAnsiTheme="minorHAnsi" w:cstheme="minorHAnsi"/>
                <w:b/>
                <w:color w:val="auto"/>
              </w:rPr>
              <w:t>activity</w:t>
            </w:r>
          </w:p>
        </w:tc>
      </w:tr>
      <w:tr w:rsidR="005E56C5" w:rsidRPr="005E56C5" w14:paraId="236C13E6" w14:textId="77777777" w:rsidTr="7B05422E">
        <w:trPr>
          <w:trHeight w:val="230"/>
        </w:trPr>
        <w:tc>
          <w:tcPr>
            <w:tcW w:w="15588" w:type="dxa"/>
            <w:gridSpan w:val="7"/>
            <w:shd w:val="clear" w:color="auto" w:fill="95B3D7" w:themeFill="accent1" w:themeFillTint="99"/>
          </w:tcPr>
          <w:p w14:paraId="23AC48A8" w14:textId="55892AFB" w:rsidR="007023E5" w:rsidRPr="005E56C5" w:rsidRDefault="007023E5" w:rsidP="007023E5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Part A: Priority </w:t>
            </w:r>
            <w:r w:rsidR="0093650E" w:rsidRPr="005E56C5">
              <w:rPr>
                <w:rFonts w:asciiTheme="minorHAnsi" w:hAnsiTheme="minorHAnsi" w:cstheme="minorHAnsi"/>
                <w:b/>
                <w:color w:val="auto"/>
              </w:rPr>
              <w:t xml:space="preserve">prevention </w:t>
            </w:r>
            <w:r w:rsidRPr="005E56C5">
              <w:rPr>
                <w:rFonts w:asciiTheme="minorHAnsi" w:hAnsiTheme="minorHAnsi" w:cstheme="minorHAnsi"/>
                <w:b/>
                <w:color w:val="auto"/>
              </w:rPr>
              <w:t>outcomes for PSEA</w:t>
            </w:r>
          </w:p>
        </w:tc>
      </w:tr>
      <w:tr w:rsidR="005E56C5" w:rsidRPr="005E56C5" w14:paraId="76D6688C" w14:textId="77777777" w:rsidTr="7B05422E">
        <w:trPr>
          <w:trHeight w:val="555"/>
        </w:trPr>
        <w:tc>
          <w:tcPr>
            <w:tcW w:w="15588" w:type="dxa"/>
            <w:gridSpan w:val="7"/>
            <w:shd w:val="clear" w:color="auto" w:fill="D9D9D9" w:themeFill="background1" w:themeFillShade="D9"/>
          </w:tcPr>
          <w:p w14:paraId="2924762D" w14:textId="395676B5" w:rsidR="007023E5" w:rsidRPr="005E56C5" w:rsidRDefault="007023E5" w:rsidP="00931E6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Outcome 1. </w:t>
            </w:r>
            <w:r w:rsidR="0093650E" w:rsidRPr="005E56C5">
              <w:rPr>
                <w:rFonts w:asciiTheme="minorHAnsi" w:hAnsiTheme="minorHAnsi" w:cstheme="minorHAnsi"/>
                <w:b/>
                <w:color w:val="auto"/>
              </w:rPr>
              <w:t xml:space="preserve">Prevention. </w:t>
            </w:r>
            <w:r w:rsidR="00736971" w:rsidRPr="005E56C5">
              <w:rPr>
                <w:rFonts w:asciiTheme="minorHAnsi" w:hAnsiTheme="minorHAnsi" w:cstheme="minorHAnsi"/>
                <w:color w:val="auto"/>
              </w:rPr>
              <w:t xml:space="preserve">All </w:t>
            </w:r>
            <w:r w:rsidR="008577FD" w:rsidRPr="005E56C5">
              <w:rPr>
                <w:rFonts w:asciiTheme="minorHAnsi" w:hAnsiTheme="minorHAnsi" w:cstheme="minorHAnsi"/>
                <w:color w:val="auto"/>
                <w:lang w:val="en-GB"/>
              </w:rPr>
              <w:t>United Nations staff and related personnel</w:t>
            </w:r>
            <w:r w:rsidR="00AC1B94"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4"/>
            </w:r>
            <w:r w:rsidR="00736971" w:rsidRPr="005E56C5">
              <w:rPr>
                <w:rFonts w:asciiTheme="minorHAnsi" w:hAnsiTheme="minorHAnsi" w:cstheme="minorHAnsi"/>
                <w:color w:val="auto"/>
              </w:rPr>
              <w:t xml:space="preserve"> know the UN standards of conduct</w:t>
            </w:r>
            <w:r w:rsidR="00901003" w:rsidRPr="005E56C5">
              <w:rPr>
                <w:rFonts w:asciiTheme="minorHAnsi" w:hAnsiTheme="minorHAnsi" w:cstheme="minorHAnsi"/>
                <w:color w:val="auto"/>
              </w:rPr>
              <w:t xml:space="preserve"> for protection </w:t>
            </w:r>
            <w:r w:rsidR="006D2737" w:rsidRPr="005E56C5">
              <w:rPr>
                <w:rFonts w:asciiTheme="minorHAnsi" w:hAnsiTheme="minorHAnsi" w:cstheme="minorHAnsi"/>
                <w:color w:val="auto"/>
              </w:rPr>
              <w:t xml:space="preserve">from </w:t>
            </w:r>
            <w:r w:rsidR="00901003" w:rsidRPr="005E56C5">
              <w:rPr>
                <w:rFonts w:asciiTheme="minorHAnsi" w:hAnsiTheme="minorHAnsi" w:cstheme="minorHAnsi"/>
                <w:color w:val="auto"/>
              </w:rPr>
              <w:t xml:space="preserve">sexual exploitation and abuse and </w:t>
            </w:r>
            <w:r w:rsidR="006D2737" w:rsidRPr="005E56C5">
              <w:rPr>
                <w:rFonts w:asciiTheme="minorHAnsi" w:hAnsiTheme="minorHAnsi" w:cstheme="minorHAnsi"/>
                <w:color w:val="auto"/>
              </w:rPr>
              <w:t xml:space="preserve">understand </w:t>
            </w:r>
            <w:r w:rsidR="00901003" w:rsidRPr="005E56C5">
              <w:rPr>
                <w:rFonts w:asciiTheme="minorHAnsi" w:hAnsiTheme="minorHAnsi" w:cstheme="minorHAnsi"/>
                <w:color w:val="auto"/>
              </w:rPr>
              <w:t>their personal and managerial/ command responsibilities to address sexual exploitation and abuse</w:t>
            </w:r>
            <w:r w:rsidR="006D2737" w:rsidRPr="005E56C5">
              <w:rPr>
                <w:rFonts w:asciiTheme="minorHAnsi" w:hAnsiTheme="minorHAnsi" w:cstheme="minorHAnsi"/>
                <w:color w:val="auto"/>
              </w:rPr>
              <w:t xml:space="preserve"> and other misconduct</w:t>
            </w:r>
            <w:r w:rsidR="00901003"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5E56C5" w:rsidRPr="005E56C5" w14:paraId="47DD53B7" w14:textId="77777777" w:rsidTr="7B05422E">
        <w:trPr>
          <w:trHeight w:val="555"/>
        </w:trPr>
        <w:tc>
          <w:tcPr>
            <w:tcW w:w="3114" w:type="dxa"/>
            <w:vMerge w:val="restart"/>
            <w:shd w:val="clear" w:color="auto" w:fill="auto"/>
          </w:tcPr>
          <w:p w14:paraId="334B1947" w14:textId="65D1C797" w:rsidR="002320A1" w:rsidRPr="005E56C5" w:rsidRDefault="002320A1" w:rsidP="00931E6A">
            <w:pPr>
              <w:spacing w:line="276" w:lineRule="auto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5E56C5"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GB"/>
              </w:rPr>
              <w:t>Output 1.1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Personnel</w:t>
            </w:r>
            <w:r w:rsidR="00A52682" w:rsidRPr="005E56C5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understand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the U</w:t>
            </w:r>
            <w:r w:rsidR="00335920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nited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N</w:t>
            </w:r>
            <w:r w:rsidR="00335920" w:rsidRPr="005E56C5">
              <w:rPr>
                <w:rFonts w:asciiTheme="minorHAnsi" w:eastAsiaTheme="minorEastAsia" w:hAnsiTheme="minorHAnsi" w:cstheme="minorHAnsi"/>
                <w:color w:val="auto"/>
              </w:rPr>
              <w:t>ations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standards of conduct on the protection from sexual exploitation and abuse.</w:t>
            </w:r>
          </w:p>
        </w:tc>
        <w:tc>
          <w:tcPr>
            <w:tcW w:w="3544" w:type="dxa"/>
            <w:shd w:val="clear" w:color="auto" w:fill="auto"/>
          </w:tcPr>
          <w:p w14:paraId="6315957A" w14:textId="79CB9E17" w:rsidR="002320A1" w:rsidRPr="005E56C5" w:rsidRDefault="002320A1" w:rsidP="00100B3C">
            <w:pPr>
              <w:pStyle w:val="Paragrafoelenco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All </w:t>
            </w:r>
            <w:r w:rsidR="00994CAA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UNCT/HCT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personnel, including those visiting the country, are provid</w:t>
            </w:r>
            <w:r w:rsidR="00A52682" w:rsidRPr="005E56C5">
              <w:rPr>
                <w:rFonts w:asciiTheme="minorHAnsi" w:eastAsiaTheme="minorEastAsia" w:hAnsiTheme="minorHAnsi" w:cstheme="minorHAnsi"/>
                <w:color w:val="auto"/>
              </w:rPr>
              <w:t>ed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="00474EC2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with an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induction briefing on conduct and discipline issues, including </w:t>
            </w:r>
            <w:r w:rsidR="00320433" w:rsidRPr="005E56C5">
              <w:rPr>
                <w:rFonts w:asciiTheme="minorHAnsi" w:eastAsiaTheme="minorEastAsia" w:hAnsiTheme="minorHAnsi" w:cstheme="minorHAnsi"/>
                <w:color w:val="auto"/>
              </w:rPr>
              <w:t>sexual exploitation and abuse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26E7A8C" w14:textId="28316CE5" w:rsidR="002320A1" w:rsidRDefault="632694CB" w:rsidP="0044463E">
            <w:pPr>
              <w:spacing w:after="120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Reminders are communicated to all staff to ensure </w:t>
            </w:r>
            <w:r w:rsidR="00E23FCA">
              <w:rPr>
                <w:rFonts w:asciiTheme="minorHAnsi" w:eastAsiaTheme="minorEastAsia" w:hAnsiTheme="minorHAnsi" w:cstheme="minorHAnsi"/>
                <w:color w:val="auto"/>
              </w:rPr>
              <w:t>ongoing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visibility/awareness of the </w:t>
            </w:r>
            <w:r w:rsidR="2B3D0F27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entity’s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policies</w:t>
            </w:r>
            <w:r w:rsidR="7FB4BCB0" w:rsidRPr="005E56C5">
              <w:rPr>
                <w:rFonts w:asciiTheme="minorHAnsi" w:eastAsiaTheme="minorEastAsia" w:hAnsiTheme="minorHAnsi" w:cstheme="minorHAnsi"/>
                <w:color w:val="auto"/>
              </w:rPr>
              <w:t>.</w:t>
            </w:r>
          </w:p>
          <w:p w14:paraId="0B2B4DDC" w14:textId="62B54400" w:rsidR="00E7332B" w:rsidRPr="005E56C5" w:rsidRDefault="00E7332B" w:rsidP="0044463E">
            <w:pPr>
              <w:spacing w:after="120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color w:val="auto"/>
              </w:rPr>
              <w:t>100% of the new staff, visitors, and related personnel have received training during the first week of their arrival?</w:t>
            </w:r>
          </w:p>
          <w:p w14:paraId="4E145D9C" w14:textId="651F6628" w:rsidR="002320A1" w:rsidRPr="005E56C5" w:rsidRDefault="632694CB" w:rsidP="5A558D20">
            <w:pPr>
              <w:rPr>
                <w:rFonts w:asciiTheme="minorHAnsi" w:eastAsia="Calibr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163BE9A9" w14:textId="579B2162" w:rsidR="002320A1" w:rsidRDefault="5A558D20" w:rsidP="5A558D2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Induction </w:t>
            </w:r>
            <w:r w:rsidR="00E23FCA">
              <w:rPr>
                <w:rFonts w:asciiTheme="minorHAnsi" w:eastAsia="Calibri" w:hAnsiTheme="minorHAnsi" w:cstheme="minorHAnsi"/>
                <w:color w:val="auto"/>
              </w:rPr>
              <w:t>training</w:t>
            </w:r>
            <w:r w:rsidR="00E23FCA" w:rsidRPr="005E56C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are </w:t>
            </w:r>
            <w:proofErr w:type="gramStart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organized </w:t>
            </w:r>
            <w:r w:rsidR="00862513" w:rsidRPr="005E56C5">
              <w:rPr>
                <w:rFonts w:asciiTheme="minorHAnsi" w:eastAsia="Calibri" w:hAnsiTheme="minorHAnsi" w:cstheme="minorHAnsi"/>
                <w:color w:val="auto"/>
              </w:rPr>
              <w:t xml:space="preserve"> by</w:t>
            </w:r>
            <w:proofErr w:type="gramEnd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862513" w:rsidRPr="005E56C5">
              <w:rPr>
                <w:rFonts w:asciiTheme="minorHAnsi" w:eastAsia="Calibri" w:hAnsiTheme="minorHAnsi" w:cstheme="minorHAnsi"/>
                <w:color w:val="auto"/>
              </w:rPr>
              <w:t xml:space="preserve">HR of 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>each entity</w:t>
            </w:r>
            <w:r w:rsidR="00862513" w:rsidRPr="005E56C5">
              <w:rPr>
                <w:rFonts w:asciiTheme="minorHAnsi" w:eastAsia="Calibri" w:hAnsiTheme="minorHAnsi" w:cstheme="minorHAnsi"/>
                <w:color w:val="auto"/>
              </w:rPr>
              <w:t xml:space="preserve"> for new staff, visitors, </w:t>
            </w:r>
            <w:r w:rsidR="00E23FCA">
              <w:rPr>
                <w:rFonts w:asciiTheme="minorHAnsi" w:eastAsia="Calibri" w:hAnsiTheme="minorHAnsi" w:cstheme="minorHAnsi"/>
                <w:color w:val="auto"/>
              </w:rPr>
              <w:t xml:space="preserve">and </w:t>
            </w:r>
            <w:r w:rsidR="00862513" w:rsidRPr="005E56C5">
              <w:rPr>
                <w:rFonts w:asciiTheme="minorHAnsi" w:eastAsia="Calibri" w:hAnsiTheme="minorHAnsi" w:cstheme="minorHAnsi"/>
                <w:color w:val="auto"/>
              </w:rPr>
              <w:t>all related personnel.</w:t>
            </w:r>
          </w:p>
          <w:p w14:paraId="755C9D37" w14:textId="77777777" w:rsidR="00E7332B" w:rsidRDefault="00E7332B" w:rsidP="5A558D2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</w:p>
          <w:p w14:paraId="7E57FFE9" w14:textId="0CD9BD49" w:rsidR="00E7332B" w:rsidRPr="005E56C5" w:rsidRDefault="00E7332B" w:rsidP="5A558D2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E66244">
              <w:rPr>
                <w:rFonts w:asciiTheme="minorHAnsi" w:hAnsiTheme="minorHAnsi" w:cstheme="minorHAnsi"/>
              </w:rPr>
              <w:t xml:space="preserve">Circulate the UN Code of Conduct among the UN Staff and </w:t>
            </w:r>
            <w:proofErr w:type="spellStart"/>
            <w:r w:rsidRPr="00E66244">
              <w:rPr>
                <w:rFonts w:asciiTheme="minorHAnsi" w:hAnsiTheme="minorHAnsi" w:cstheme="minorHAnsi"/>
              </w:rPr>
              <w:t>HoA</w:t>
            </w:r>
            <w:proofErr w:type="spellEnd"/>
            <w:r w:rsidRPr="00E66244">
              <w:rPr>
                <w:rFonts w:asciiTheme="minorHAnsi" w:hAnsiTheme="minorHAnsi" w:cstheme="minorHAnsi"/>
              </w:rPr>
              <w:t xml:space="preserve"> </w:t>
            </w:r>
            <w:r w:rsidRPr="00E66244">
              <w:rPr>
                <w:rFonts w:asciiTheme="minorHAnsi" w:hAnsiTheme="minorHAnsi" w:cstheme="minorHAnsi"/>
                <w:i/>
                <w:iCs/>
              </w:rPr>
              <w:t xml:space="preserve">on a yearly basis </w:t>
            </w:r>
            <w:r w:rsidRPr="00E66244">
              <w:rPr>
                <w:rFonts w:asciiTheme="minorHAnsi" w:hAnsiTheme="minorHAnsi" w:cstheme="minorHAnsi"/>
              </w:rPr>
              <w:t xml:space="preserve">and include as a session in </w:t>
            </w:r>
            <w:proofErr w:type="gramStart"/>
            <w:r w:rsidRPr="00E66244">
              <w:rPr>
                <w:rFonts w:asciiTheme="minorHAnsi" w:hAnsiTheme="minorHAnsi" w:cstheme="minorHAnsi"/>
              </w:rPr>
              <w:t>the  regular</w:t>
            </w:r>
            <w:proofErr w:type="gramEnd"/>
            <w:r w:rsidRPr="00E66244">
              <w:rPr>
                <w:rFonts w:asciiTheme="minorHAnsi" w:hAnsiTheme="minorHAnsi" w:cstheme="minorHAnsi"/>
              </w:rPr>
              <w:t xml:space="preserve"> Induction Course for UN </w:t>
            </w:r>
            <w:r w:rsidR="00CF68B4">
              <w:rPr>
                <w:rFonts w:asciiTheme="minorHAnsi" w:hAnsiTheme="minorHAnsi" w:cstheme="minorHAnsi"/>
              </w:rPr>
              <w:lastRenderedPageBreak/>
              <w:t>newly appointed staff</w:t>
            </w:r>
          </w:p>
        </w:tc>
        <w:tc>
          <w:tcPr>
            <w:tcW w:w="1271" w:type="dxa"/>
            <w:shd w:val="clear" w:color="auto" w:fill="auto"/>
          </w:tcPr>
          <w:p w14:paraId="11019079" w14:textId="5B41B21B" w:rsidR="002320A1" w:rsidRPr="005E56C5" w:rsidRDefault="00811A29" w:rsidP="00931E6A">
            <w:pPr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5E56C5">
              <w:rPr>
                <w:rFonts w:asciiTheme="minorHAnsi" w:hAnsiTheme="minorHAnsi" w:cstheme="minorHAnsi"/>
                <w:i/>
                <w:color w:val="auto"/>
              </w:rPr>
              <w:lastRenderedPageBreak/>
              <w:t>Ongoing</w:t>
            </w:r>
          </w:p>
        </w:tc>
        <w:tc>
          <w:tcPr>
            <w:tcW w:w="1275" w:type="dxa"/>
            <w:shd w:val="clear" w:color="auto" w:fill="auto"/>
          </w:tcPr>
          <w:p w14:paraId="04102B22" w14:textId="68E1217D" w:rsidR="002320A1" w:rsidRPr="005E56C5" w:rsidRDefault="00057E0E" w:rsidP="00931E6A">
            <w:pPr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5E56C5">
              <w:rPr>
                <w:rFonts w:asciiTheme="minorHAnsi" w:hAnsiTheme="minorHAnsi" w:cstheme="minorHAnsi"/>
                <w:i/>
                <w:color w:val="auto"/>
              </w:rPr>
              <w:t>Internal resources</w:t>
            </w:r>
          </w:p>
        </w:tc>
        <w:tc>
          <w:tcPr>
            <w:tcW w:w="1418" w:type="dxa"/>
            <w:shd w:val="clear" w:color="auto" w:fill="auto"/>
          </w:tcPr>
          <w:p w14:paraId="7B535B2A" w14:textId="480499D9" w:rsidR="002320A1" w:rsidRPr="005E56C5" w:rsidRDefault="6C0899D3" w:rsidP="5A558D20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/>
                <w:iCs/>
                <w:color w:val="auto"/>
              </w:rPr>
              <w:t>APFs, Mission.</w:t>
            </w:r>
          </w:p>
        </w:tc>
      </w:tr>
      <w:tr w:rsidR="005E56C5" w:rsidRPr="005E56C5" w14:paraId="5D6D593F" w14:textId="77777777" w:rsidTr="7B05422E">
        <w:trPr>
          <w:trHeight w:val="555"/>
        </w:trPr>
        <w:tc>
          <w:tcPr>
            <w:tcW w:w="3114" w:type="dxa"/>
            <w:vMerge/>
          </w:tcPr>
          <w:p w14:paraId="3C0CDCE0" w14:textId="77777777" w:rsidR="00932CFB" w:rsidRPr="005E56C5" w:rsidRDefault="00932CFB" w:rsidP="00931E6A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482460E" w14:textId="52CD861B" w:rsidR="00932CFB" w:rsidRPr="005E56C5" w:rsidRDefault="00932CFB" w:rsidP="00100B3C">
            <w:pPr>
              <w:pStyle w:val="Paragrafoelenco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Prevention measures such as curfew/off-limits policies operate in peace operations and consideration </w:t>
            </w:r>
            <w:r w:rsidR="00474EC2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should be given to implementing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such measures </w:t>
            </w:r>
            <w:r w:rsidR="00E23FCA">
              <w:rPr>
                <w:rFonts w:asciiTheme="minorHAnsi" w:eastAsiaTheme="minorEastAsia" w:hAnsiTheme="minorHAnsi" w:cstheme="minorHAnsi"/>
                <w:color w:val="auto"/>
              </w:rPr>
              <w:t>in</w:t>
            </w:r>
            <w:r w:rsidR="00E23FCA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other duty stations </w:t>
            </w:r>
          </w:p>
        </w:tc>
        <w:tc>
          <w:tcPr>
            <w:tcW w:w="3260" w:type="dxa"/>
            <w:shd w:val="clear" w:color="auto" w:fill="auto"/>
          </w:tcPr>
          <w:p w14:paraId="24C66845" w14:textId="319E9479" w:rsidR="00932CFB" w:rsidRPr="005E56C5" w:rsidRDefault="00862513" w:rsidP="00862513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Regular broadcasts on the curfew/</w:t>
            </w:r>
            <w:r w:rsidR="00E23FCA">
              <w:rPr>
                <w:rFonts w:asciiTheme="minorHAnsi" w:hAnsiTheme="minorHAnsi" w:cstheme="minorHAnsi"/>
                <w:color w:val="auto"/>
              </w:rPr>
              <w:t>off-limits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areas are disseminated to UN personnel</w:t>
            </w:r>
          </w:p>
        </w:tc>
        <w:tc>
          <w:tcPr>
            <w:tcW w:w="1706" w:type="dxa"/>
            <w:shd w:val="clear" w:color="auto" w:fill="auto"/>
          </w:tcPr>
          <w:p w14:paraId="7B63C7A0" w14:textId="520ABCE2" w:rsidR="00862513" w:rsidRPr="005E56C5" w:rsidRDefault="00BA2FBF" w:rsidP="00862513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Regular bro</w:t>
            </w:r>
            <w:r w:rsidR="00EC2B0F">
              <w:rPr>
                <w:rFonts w:asciiTheme="minorHAnsi" w:hAnsiTheme="minorHAnsi" w:cstheme="minorHAnsi"/>
                <w:color w:val="auto"/>
              </w:rPr>
              <w:t>a</w:t>
            </w:r>
            <w:r w:rsidRPr="005E56C5">
              <w:rPr>
                <w:rFonts w:asciiTheme="minorHAnsi" w:hAnsiTheme="minorHAnsi" w:cstheme="minorHAnsi"/>
                <w:color w:val="auto"/>
              </w:rPr>
              <w:t>dcasts disseminated in Mogadishu and in the field.</w:t>
            </w:r>
          </w:p>
          <w:p w14:paraId="6A9AE918" w14:textId="30998F79" w:rsidR="00932CFB" w:rsidRPr="005E56C5" w:rsidRDefault="00932CFB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  <w:shd w:val="clear" w:color="auto" w:fill="auto"/>
          </w:tcPr>
          <w:p w14:paraId="53ED293D" w14:textId="22E6A529" w:rsidR="00932CFB" w:rsidRPr="005E56C5" w:rsidRDefault="00811A29" w:rsidP="00931E6A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Ongoing</w:t>
            </w:r>
          </w:p>
        </w:tc>
        <w:tc>
          <w:tcPr>
            <w:tcW w:w="1275" w:type="dxa"/>
            <w:shd w:val="clear" w:color="auto" w:fill="auto"/>
          </w:tcPr>
          <w:p w14:paraId="4C53FC1A" w14:textId="1FCEA9A1" w:rsidR="00932CFB" w:rsidRPr="005E56C5" w:rsidRDefault="00057E0E" w:rsidP="00931E6A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  <w:shd w:val="clear" w:color="auto" w:fill="auto"/>
          </w:tcPr>
          <w:p w14:paraId="4CFB3D59" w14:textId="7674076E" w:rsidR="00932CFB" w:rsidRPr="005E56C5" w:rsidRDefault="6C0899D3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AFPs, Mission</w:t>
            </w:r>
          </w:p>
        </w:tc>
      </w:tr>
      <w:tr w:rsidR="005E56C5" w:rsidRPr="005E56C5" w14:paraId="745F0822" w14:textId="77777777" w:rsidTr="7B05422E">
        <w:trPr>
          <w:trHeight w:val="555"/>
        </w:trPr>
        <w:tc>
          <w:tcPr>
            <w:tcW w:w="3114" w:type="dxa"/>
            <w:vMerge/>
          </w:tcPr>
          <w:p w14:paraId="095C1EC0" w14:textId="77777777" w:rsidR="002320A1" w:rsidRPr="005E56C5" w:rsidRDefault="002320A1" w:rsidP="00931E6A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E1462F9" w14:textId="366C4F7C" w:rsidR="002320A1" w:rsidRPr="005E56C5" w:rsidRDefault="006B7EB6" w:rsidP="00100B3C">
            <w:pPr>
              <w:pStyle w:val="Paragrafoelenco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 xml:space="preserve">The UNCT/HCT </w:t>
            </w:r>
            <w:r w:rsidR="002320A1" w:rsidRPr="005E56C5">
              <w:rPr>
                <w:rFonts w:asciiTheme="minorHAnsi" w:hAnsiTheme="minorHAnsi" w:cstheme="minorHAnsi"/>
                <w:bCs/>
                <w:color w:val="auto"/>
              </w:rPr>
              <w:t>personnel know the standards on sexual exploitation and abuse (training, leadership dialogues, town-halls).</w:t>
            </w:r>
          </w:p>
        </w:tc>
        <w:tc>
          <w:tcPr>
            <w:tcW w:w="3260" w:type="dxa"/>
            <w:shd w:val="clear" w:color="auto" w:fill="auto"/>
          </w:tcPr>
          <w:p w14:paraId="5F25BF46" w14:textId="2BB2B78E" w:rsidR="002320A1" w:rsidRPr="005E56C5" w:rsidRDefault="632694CB" w:rsidP="5A558D20">
            <w:pPr>
              <w:spacing w:line="276" w:lineRule="auto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PSEA awareness</w:t>
            </w:r>
            <w:r w:rsidR="185BC087" w:rsidRPr="005E56C5">
              <w:rPr>
                <w:rFonts w:asciiTheme="minorHAnsi" w:eastAsiaTheme="minorEastAsia" w:hAnsiTheme="minorHAnsi" w:cstheme="minorHAnsi"/>
                <w:color w:val="auto"/>
              </w:rPr>
              <w:t>-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raising materials </w:t>
            </w:r>
            <w:proofErr w:type="gramStart"/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(</w:t>
            </w:r>
            <w:r w:rsidR="00092A33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radio</w:t>
            </w:r>
            <w:proofErr w:type="gramEnd"/>
            <w:r w:rsidR="00092A33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broadcast</w:t>
            </w:r>
            <w:r w:rsidR="00092A33" w:rsidRPr="005E56C5">
              <w:rPr>
                <w:rFonts w:asciiTheme="minorHAnsi" w:eastAsiaTheme="minorEastAsia" w:hAnsiTheme="minorHAnsi" w:cstheme="minorHAnsi"/>
                <w:color w:val="auto"/>
              </w:rPr>
              <w:t>s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, </w:t>
            </w:r>
            <w:r w:rsidR="00EC2B0F">
              <w:rPr>
                <w:rFonts w:asciiTheme="minorHAnsi" w:eastAsiaTheme="minorEastAsia" w:hAnsiTheme="minorHAnsi" w:cstheme="minorHAnsi"/>
                <w:color w:val="auto"/>
              </w:rPr>
              <w:t>pamphlets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, posters, etc.), including “no excuse cards” are locally </w:t>
            </w:r>
            <w:r w:rsidR="63C99269"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contextualized,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produced</w:t>
            </w:r>
            <w:r w:rsidR="00EC2B0F">
              <w:rPr>
                <w:rFonts w:asciiTheme="minorHAnsi" w:eastAsiaTheme="minorEastAsia" w:hAnsiTheme="minorHAnsi" w:cstheme="minorHAnsi"/>
                <w:color w:val="auto"/>
              </w:rPr>
              <w:t>,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and distributed</w:t>
            </w:r>
            <w:r w:rsidR="7FB4BCB0" w:rsidRPr="005E56C5">
              <w:rPr>
                <w:rFonts w:asciiTheme="minorHAnsi" w:eastAsiaTheme="minorEastAsia" w:hAnsiTheme="minorHAnsi" w:cstheme="minorHAnsi"/>
                <w:color w:val="auto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5B6104E5" w14:textId="1154E473" w:rsidR="002320A1" w:rsidRDefault="5A558D20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No excuse cards </w:t>
            </w:r>
            <w:r w:rsidR="00EC2B0F">
              <w:rPr>
                <w:rFonts w:asciiTheme="minorHAnsi" w:hAnsiTheme="minorHAnsi" w:cstheme="minorHAnsi"/>
                <w:color w:val="auto"/>
              </w:rPr>
              <w:t xml:space="preserve">are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locally contextualized </w:t>
            </w:r>
            <w:r w:rsidR="00EC2B0F">
              <w:rPr>
                <w:rFonts w:asciiTheme="minorHAnsi" w:hAnsiTheme="minorHAnsi" w:cstheme="minorHAnsi"/>
                <w:color w:val="auto"/>
              </w:rPr>
              <w:t xml:space="preserve">and </w:t>
            </w:r>
            <w:r w:rsidRPr="005E56C5">
              <w:rPr>
                <w:rFonts w:asciiTheme="minorHAnsi" w:hAnsiTheme="minorHAnsi" w:cstheme="minorHAnsi"/>
                <w:color w:val="auto"/>
              </w:rPr>
              <w:t>distributed to all personnel</w:t>
            </w:r>
            <w:r w:rsidR="00862513"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0CCBD7D" w14:textId="4E9A0CB9" w:rsidR="00385C92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6E6F51E" w14:textId="3BD089BE" w:rsidR="00385C92" w:rsidRPr="005E56C5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Trainings on PSEA Principles and </w:t>
            </w:r>
            <w:proofErr w:type="gramStart"/>
            <w:r w:rsidR="004568CB">
              <w:rPr>
                <w:rFonts w:asciiTheme="minorHAnsi" w:hAnsiTheme="minorHAnsi" w:cstheme="minorHAnsi"/>
                <w:color w:val="auto"/>
              </w:rPr>
              <w:t>A</w:t>
            </w:r>
            <w:r>
              <w:rPr>
                <w:rFonts w:asciiTheme="minorHAnsi" w:hAnsiTheme="minorHAnsi" w:cstheme="minorHAnsi"/>
                <w:color w:val="auto"/>
              </w:rPr>
              <w:t>rchitecture  for</w:t>
            </w:r>
            <w:proofErr w:type="gramEnd"/>
            <w:r>
              <w:rPr>
                <w:rFonts w:asciiTheme="minorHAnsi" w:hAnsiTheme="minorHAnsi" w:cstheme="minorHAnsi"/>
                <w:color w:val="auto"/>
              </w:rPr>
              <w:t xml:space="preserve"> IPs in field locations are organized </w:t>
            </w:r>
          </w:p>
          <w:p w14:paraId="4627D1F2" w14:textId="18784A15" w:rsidR="00862513" w:rsidRPr="005E56C5" w:rsidRDefault="00862513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  <w:shd w:val="clear" w:color="auto" w:fill="auto"/>
          </w:tcPr>
          <w:p w14:paraId="06303CB1" w14:textId="77777777" w:rsidR="002320A1" w:rsidRDefault="5A558D20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September 2022</w:t>
            </w:r>
          </w:p>
          <w:p w14:paraId="5BB64C6B" w14:textId="77777777" w:rsidR="00385C92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0F914C9" w14:textId="77777777" w:rsidR="00385C92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BBB2EF1" w14:textId="77777777" w:rsidR="00385C92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CFC6942" w14:textId="77777777" w:rsidR="00385C92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0AE11E0" w14:textId="224C8828" w:rsidR="00385C92" w:rsidRPr="005E56C5" w:rsidRDefault="00385C92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January, April, September 2023</w:t>
            </w:r>
          </w:p>
        </w:tc>
        <w:tc>
          <w:tcPr>
            <w:tcW w:w="1275" w:type="dxa"/>
            <w:shd w:val="clear" w:color="auto" w:fill="auto"/>
          </w:tcPr>
          <w:p w14:paraId="30F07380" w14:textId="0342FF57" w:rsidR="002320A1" w:rsidRPr="005E56C5" w:rsidRDefault="002320A1" w:rsidP="00931E6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138BC707" w14:textId="47F82C63" w:rsidR="002320A1" w:rsidRPr="005315C3" w:rsidRDefault="005315C3" w:rsidP="00931E6A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315C3">
              <w:rPr>
                <w:rFonts w:asciiTheme="minorHAnsi" w:hAnsiTheme="minorHAnsi" w:cstheme="minorHAnsi"/>
                <w:bCs/>
                <w:color w:val="auto"/>
              </w:rPr>
              <w:t>PSEA Coordinator, CDT, APFs</w:t>
            </w:r>
          </w:p>
        </w:tc>
      </w:tr>
      <w:tr w:rsidR="005E56C5" w:rsidRPr="005E56C5" w14:paraId="4E421B26" w14:textId="77777777" w:rsidTr="7B05422E">
        <w:trPr>
          <w:trHeight w:val="555"/>
        </w:trPr>
        <w:tc>
          <w:tcPr>
            <w:tcW w:w="3114" w:type="dxa"/>
            <w:vMerge/>
          </w:tcPr>
          <w:p w14:paraId="0E8C600F" w14:textId="77777777" w:rsidR="002320A1" w:rsidRPr="005E56C5" w:rsidRDefault="002320A1" w:rsidP="00C63B2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3A4DC823" w14:textId="163C1CE6" w:rsidR="002320A1" w:rsidRPr="005E56C5" w:rsidRDefault="002320A1" w:rsidP="00100B3C">
            <w:pPr>
              <w:pStyle w:val="Paragrafoelenco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eastAsiaTheme="minorEastAsia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All personnel </w:t>
            </w:r>
            <w:r w:rsidR="00E831E1"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are </w:t>
            </w:r>
            <w:r w:rsidR="00761E6F"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aware </w:t>
            </w:r>
            <w:r w:rsidR="00E831E1"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of </w:t>
            </w:r>
            <w:r w:rsidR="006B7EB6" w:rsidRPr="005E56C5">
              <w:rPr>
                <w:rFonts w:asciiTheme="minorHAnsi" w:hAnsiTheme="minorHAnsi" w:cstheme="minorHAnsi"/>
                <w:color w:val="auto"/>
                <w:lang w:val="en-GB"/>
              </w:rPr>
              <w:t>the policy for</w:t>
            </w:r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 protection against retaliation for reporting misconduct – to empower, encourage and protect staff who report cases of sexual exploitation and abuse (</w:t>
            </w:r>
            <w:hyperlink r:id="rId11" w:history="1">
              <w:r w:rsidRPr="005E56C5">
                <w:rPr>
                  <w:rStyle w:val="Collegamentoipertestuale"/>
                  <w:rFonts w:asciiTheme="minorHAnsi" w:hAnsiTheme="minorHAnsi" w:cstheme="minorHAnsi"/>
                  <w:color w:val="auto"/>
                  <w:lang w:val="en-GB"/>
                </w:rPr>
                <w:t>ST/SGB/2017/2/Rev.1</w:t>
              </w:r>
            </w:hyperlink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14:paraId="5503B264" w14:textId="2A90B0DE" w:rsidR="002320A1" w:rsidRPr="005E56C5" w:rsidRDefault="0002704B" w:rsidP="00C63B21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UNCT/HCT staff 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>members are aware of their obligation to report</w:t>
            </w:r>
            <w:r w:rsidR="00203389">
              <w:rPr>
                <w:rFonts w:asciiTheme="minorHAnsi" w:hAnsiTheme="minorHAnsi" w:cstheme="minorHAnsi"/>
                <w:color w:val="auto"/>
              </w:rPr>
              <w:t xml:space="preserve"> incidents of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20433" w:rsidRPr="005E56C5">
              <w:rPr>
                <w:rFonts w:asciiTheme="minorHAnsi" w:hAnsiTheme="minorHAnsi" w:cstheme="minorHAnsi"/>
                <w:color w:val="auto"/>
              </w:rPr>
              <w:t>sexual exploitation and abuse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>/</w:t>
            </w:r>
            <w:r w:rsidR="00320433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 xml:space="preserve">misconduct and </w:t>
            </w:r>
            <w:r w:rsidRPr="005E56C5">
              <w:rPr>
                <w:rFonts w:asciiTheme="minorHAnsi" w:hAnsiTheme="minorHAnsi" w:cstheme="minorHAnsi"/>
                <w:color w:val="auto"/>
              </w:rPr>
              <w:t>the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 xml:space="preserve"> policy for protection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against </w:t>
            </w:r>
            <w:r w:rsidR="002320A1" w:rsidRPr="005E56C5">
              <w:rPr>
                <w:rFonts w:asciiTheme="minorHAnsi" w:hAnsiTheme="minorHAnsi" w:cstheme="minorHAnsi"/>
                <w:color w:val="auto"/>
              </w:rPr>
              <w:t>retaliation</w:t>
            </w:r>
            <w:r w:rsidR="00163962"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3B1D4CFD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An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online  quarterly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survey to test knowledge of staff is rolled out.</w:t>
            </w:r>
          </w:p>
          <w:p w14:paraId="09DF91B4" w14:textId="77070BD3" w:rsidR="002320A1" w:rsidRPr="005E56C5" w:rsidRDefault="00AF5C5C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</w:t>
            </w:r>
            <w:r w:rsidR="5A558D20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UN </w:t>
            </w:r>
            <w:r w:rsidR="5A558D20" w:rsidRPr="005E56C5">
              <w:rPr>
                <w:rFonts w:asciiTheme="minorHAnsi" w:hAnsiTheme="minorHAnsi" w:cstheme="minorHAnsi"/>
                <w:color w:val="auto"/>
              </w:rPr>
              <w:t xml:space="preserve">whistleblower policy </w:t>
            </w:r>
            <w:proofErr w:type="gramStart"/>
            <w:r w:rsidR="5A558D20" w:rsidRPr="005E56C5">
              <w:rPr>
                <w:rFonts w:asciiTheme="minorHAnsi" w:hAnsiTheme="minorHAnsi" w:cstheme="minorHAnsi"/>
                <w:color w:val="auto"/>
              </w:rPr>
              <w:t xml:space="preserve">is  </w:t>
            </w:r>
            <w:r w:rsidRPr="005E56C5">
              <w:rPr>
                <w:rFonts w:asciiTheme="minorHAnsi" w:hAnsiTheme="minorHAnsi" w:cstheme="minorHAnsi"/>
                <w:color w:val="auto"/>
              </w:rPr>
              <w:t>widely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5A558D20" w:rsidRPr="005E56C5">
              <w:rPr>
                <w:rFonts w:asciiTheme="minorHAnsi" w:hAnsiTheme="minorHAnsi" w:cstheme="minorHAnsi"/>
                <w:color w:val="auto"/>
              </w:rPr>
              <w:t xml:space="preserve">disseminated </w:t>
            </w:r>
          </w:p>
        </w:tc>
        <w:tc>
          <w:tcPr>
            <w:tcW w:w="1271" w:type="dxa"/>
            <w:shd w:val="clear" w:color="auto" w:fill="auto"/>
          </w:tcPr>
          <w:p w14:paraId="4666A660" w14:textId="45C42566" w:rsidR="00212BB5" w:rsidRPr="005E56C5" w:rsidRDefault="00BA2FBF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Quarterly</w:t>
            </w:r>
          </w:p>
          <w:p w14:paraId="6A0F89A6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86F6C76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BF8FDE2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9473085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8B8A275" w14:textId="77777777" w:rsidR="00212BB5" w:rsidRPr="005E56C5" w:rsidRDefault="00212BB5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0E56507" w14:textId="4B1D28F2" w:rsidR="002320A1" w:rsidRPr="005E56C5" w:rsidRDefault="5A558D20" w:rsidP="5A558D20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September 2022</w:t>
            </w:r>
          </w:p>
        </w:tc>
        <w:tc>
          <w:tcPr>
            <w:tcW w:w="1275" w:type="dxa"/>
            <w:shd w:val="clear" w:color="auto" w:fill="auto"/>
          </w:tcPr>
          <w:p w14:paraId="5B61B80D" w14:textId="77777777" w:rsidR="002320A1" w:rsidRPr="005E56C5" w:rsidRDefault="002320A1" w:rsidP="00C63B2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4EDEA3E3" w14:textId="07B418D6" w:rsidR="002320A1" w:rsidRPr="005E56C5" w:rsidRDefault="009E5EEE" w:rsidP="00C63B21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PSEA Coordinator and Network</w:t>
            </w:r>
          </w:p>
        </w:tc>
      </w:tr>
      <w:tr w:rsidR="005E56C5" w:rsidRPr="005E56C5" w14:paraId="7620EF65" w14:textId="77777777" w:rsidTr="7B05422E">
        <w:trPr>
          <w:trHeight w:val="555"/>
        </w:trPr>
        <w:tc>
          <w:tcPr>
            <w:tcW w:w="3114" w:type="dxa"/>
            <w:vMerge/>
          </w:tcPr>
          <w:p w14:paraId="7731AB0E" w14:textId="77777777" w:rsidR="009E5EEE" w:rsidRPr="005E56C5" w:rsidRDefault="009E5EEE" w:rsidP="009E5EE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477C3AB0" w14:textId="2A482899" w:rsidR="009E5EEE" w:rsidRPr="005E56C5" w:rsidRDefault="009E5EEE" w:rsidP="009E5EEE">
            <w:pPr>
              <w:pStyle w:val="Paragrafoelenco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All personnel are provided with clear guidance on where and how to report allegations of </w:t>
            </w:r>
            <w:r w:rsidR="00E7332B">
              <w:rPr>
                <w:rFonts w:asciiTheme="minorHAnsi" w:hAnsiTheme="minorHAnsi" w:cstheme="minorHAnsi"/>
                <w:color w:val="auto"/>
                <w:lang w:val="en-GB"/>
              </w:rPr>
              <w:t>SEA</w:t>
            </w:r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3E43C7F" w14:textId="25C6DDF9" w:rsidR="009E5EEE" w:rsidRPr="005E56C5" w:rsidRDefault="009E5EEE" w:rsidP="009E5EEE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>100%of staff</w:t>
            </w:r>
            <w:r w:rsidR="00CA7410">
              <w:rPr>
                <w:rFonts w:asciiTheme="minorHAnsi" w:eastAsia="Calibri" w:hAnsiTheme="minorHAnsi" w:cstheme="minorHAnsi"/>
                <w:color w:val="auto"/>
              </w:rPr>
              <w:t xml:space="preserve"> (including IPs staff)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is aware of SEA reporting channels and reporting flowchart</w:t>
            </w:r>
            <w:r w:rsidR="00CA7410"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2D1F244D" w14:textId="747BC256" w:rsidR="000F08CB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SEA Reporting </w:t>
            </w:r>
            <w:r w:rsidR="00AC061E">
              <w:rPr>
                <w:rFonts w:asciiTheme="minorHAnsi" w:hAnsiTheme="minorHAnsi" w:cstheme="minorHAnsi"/>
                <w:color w:val="auto"/>
              </w:rPr>
              <w:t xml:space="preserve">SOPs are </w:t>
            </w:r>
            <w:r w:rsidRPr="005E56C5">
              <w:rPr>
                <w:rFonts w:asciiTheme="minorHAnsi" w:hAnsiTheme="minorHAnsi" w:cstheme="minorHAnsi"/>
                <w:color w:val="auto"/>
              </w:rPr>
              <w:t>disseminated widely</w:t>
            </w:r>
            <w:r w:rsidR="000F08CB"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7374486A" w14:textId="77777777" w:rsidR="000F08CB" w:rsidRPr="005E56C5" w:rsidRDefault="000F08CB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5F17D58" w14:textId="4ADB5A26" w:rsidR="009E5EEE" w:rsidRPr="005E56C5" w:rsidRDefault="000F08CB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Field staff</w:t>
            </w:r>
            <w:r w:rsidR="006F1CA6">
              <w:rPr>
                <w:rFonts w:asciiTheme="minorHAnsi" w:hAnsiTheme="minorHAnsi" w:cstheme="minorHAnsi"/>
                <w:color w:val="auto"/>
              </w:rPr>
              <w:t xml:space="preserve"> (including IPs staff)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 xml:space="preserve">is  </w:t>
            </w:r>
            <w:r w:rsidR="00FC219D" w:rsidRPr="005E56C5">
              <w:rPr>
                <w:rFonts w:asciiTheme="minorHAnsi" w:hAnsiTheme="minorHAnsi" w:cstheme="minorHAnsi"/>
                <w:color w:val="auto"/>
              </w:rPr>
              <w:t>trained</w:t>
            </w:r>
            <w:proofErr w:type="gramEnd"/>
            <w:r w:rsidR="00FC219D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to use of reporting </w:t>
            </w:r>
            <w:r w:rsidR="00AC061E">
              <w:rPr>
                <w:rFonts w:asciiTheme="minorHAnsi" w:hAnsiTheme="minorHAnsi" w:cstheme="minorHAnsi"/>
                <w:color w:val="auto"/>
              </w:rPr>
              <w:t>SOPs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33FE514B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August 2022</w:t>
            </w:r>
          </w:p>
          <w:p w14:paraId="0944F6B6" w14:textId="77777777" w:rsidR="00092A33" w:rsidRPr="005E56C5" w:rsidRDefault="00092A3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367C820" w14:textId="77777777" w:rsidR="00092A33" w:rsidRPr="005E56C5" w:rsidRDefault="00092A3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BEDC93E" w14:textId="77777777" w:rsidR="00092A33" w:rsidRPr="005E56C5" w:rsidRDefault="00092A3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7D75F40" w14:textId="77777777" w:rsidR="00E7332B" w:rsidRDefault="00E7332B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C62956C" w14:textId="01424ED8" w:rsidR="00092A33" w:rsidRPr="005E56C5" w:rsidRDefault="00AF5C5C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November 2022</w:t>
            </w:r>
          </w:p>
        </w:tc>
        <w:tc>
          <w:tcPr>
            <w:tcW w:w="1275" w:type="dxa"/>
            <w:shd w:val="clear" w:color="auto" w:fill="auto"/>
          </w:tcPr>
          <w:p w14:paraId="6D0B451F" w14:textId="40137321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4679DE3" w14:textId="175F27EB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PSEA Coordinator and Network</w:t>
            </w:r>
          </w:p>
        </w:tc>
      </w:tr>
      <w:tr w:rsidR="005E56C5" w:rsidRPr="005E56C5" w14:paraId="71FE0D76" w14:textId="77777777" w:rsidTr="7B05422E">
        <w:trPr>
          <w:trHeight w:val="555"/>
        </w:trPr>
        <w:tc>
          <w:tcPr>
            <w:tcW w:w="3114" w:type="dxa"/>
            <w:vMerge w:val="restart"/>
            <w:shd w:val="clear" w:color="auto" w:fill="auto"/>
          </w:tcPr>
          <w:p w14:paraId="6B85C03C" w14:textId="37A2E531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b/>
                <w:color w:val="auto"/>
              </w:rPr>
              <w:t>Output 1.2</w:t>
            </w:r>
            <w:r w:rsidRPr="005E56C5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Leadership, managers </w:t>
            </w:r>
            <w:r w:rsidRPr="005E56C5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and commanders</w:t>
            </w:r>
            <w:r w:rsidRPr="005E56C5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know</w:t>
            </w:r>
            <w:r w:rsidR="00D0474F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and act on</w:t>
            </w:r>
            <w:r w:rsidRPr="005E56C5">
              <w:rPr>
                <w:rFonts w:asciiTheme="minorHAnsi" w:eastAsiaTheme="minorEastAsia" w:hAnsiTheme="minorHAnsi" w:cstheme="minorHAnsi"/>
                <w:bCs/>
                <w:color w:val="auto"/>
              </w:rPr>
              <w:t xml:space="preserve"> their personal and managerial/command responsibilities to </w:t>
            </w:r>
            <w:r w:rsidR="00D0474F">
              <w:rPr>
                <w:rFonts w:asciiTheme="minorHAnsi" w:eastAsiaTheme="minorEastAsia" w:hAnsiTheme="minorHAnsi" w:cstheme="minorHAnsi"/>
                <w:bCs/>
                <w:color w:val="auto"/>
              </w:rPr>
              <w:t>prevent and respond to misconduct</w:t>
            </w:r>
          </w:p>
        </w:tc>
        <w:tc>
          <w:tcPr>
            <w:tcW w:w="3544" w:type="dxa"/>
            <w:shd w:val="clear" w:color="auto" w:fill="auto"/>
          </w:tcPr>
          <w:p w14:paraId="052CB875" w14:textId="0739663A" w:rsidR="009E5EEE" w:rsidRPr="005E56C5" w:rsidRDefault="009E5EEE" w:rsidP="009E5EEE">
            <w:pPr>
              <w:pStyle w:val="Paragrafoelenco"/>
              <w:numPr>
                <w:ilvl w:val="0"/>
                <w:numId w:val="10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Managers monitor completion by all personnel in </w:t>
            </w:r>
            <w:r w:rsidR="00EC2B0F">
              <w:rPr>
                <w:rFonts w:asciiTheme="minorHAnsi" w:eastAsiaTheme="minorEastAsia" w:hAnsiTheme="minorHAnsi" w:cstheme="minorHAnsi"/>
                <w:color w:val="auto"/>
              </w:rPr>
              <w:t xml:space="preserve">the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country of mandatory online and classroom training.</w:t>
            </w:r>
          </w:p>
        </w:tc>
        <w:tc>
          <w:tcPr>
            <w:tcW w:w="3260" w:type="dxa"/>
            <w:shd w:val="clear" w:color="auto" w:fill="auto"/>
          </w:tcPr>
          <w:p w14:paraId="1FAD2152" w14:textId="613F8E71" w:rsidR="009E5EEE" w:rsidRPr="005E56C5" w:rsidRDefault="00BA2FBF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Actions are taken by </w:t>
            </w:r>
            <w:r w:rsidR="00EC2B0F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Human Resources of each Entity </w:t>
            </w:r>
          </w:p>
        </w:tc>
        <w:tc>
          <w:tcPr>
            <w:tcW w:w="1706" w:type="dxa"/>
            <w:shd w:val="clear" w:color="auto" w:fill="auto"/>
          </w:tcPr>
          <w:p w14:paraId="50EF1D0C" w14:textId="5C1E35DA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Human resources of each entity to record </w:t>
            </w:r>
            <w:proofErr w:type="gramStart"/>
            <w:r w:rsidRPr="005E56C5">
              <w:rPr>
                <w:rFonts w:asciiTheme="minorHAnsi" w:eastAsia="Calibri" w:hAnsiTheme="minorHAnsi" w:cstheme="minorHAnsi"/>
                <w:color w:val="auto"/>
              </w:rPr>
              <w:t>copy  of</w:t>
            </w:r>
            <w:proofErr w:type="gramEnd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EC2B0F">
              <w:rPr>
                <w:rFonts w:asciiTheme="minorHAnsi" w:eastAsia="Calibri" w:hAnsiTheme="minorHAnsi" w:cstheme="minorHAnsi"/>
                <w:color w:val="auto"/>
              </w:rPr>
              <w:t xml:space="preserve">the 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>training</w:t>
            </w:r>
          </w:p>
          <w:p w14:paraId="4FE3FED6" w14:textId="02E6D7B5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>certificates and maintain updated tracking</w:t>
            </w:r>
          </w:p>
        </w:tc>
        <w:tc>
          <w:tcPr>
            <w:tcW w:w="1271" w:type="dxa"/>
            <w:shd w:val="clear" w:color="auto" w:fill="auto"/>
          </w:tcPr>
          <w:p w14:paraId="78B42C7C" w14:textId="323D172D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continuos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31B7B99" w14:textId="1D2FA44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40615B72" w14:textId="488AB992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APFs, Mission</w:t>
            </w:r>
          </w:p>
        </w:tc>
      </w:tr>
      <w:tr w:rsidR="005E56C5" w:rsidRPr="005E56C5" w14:paraId="327A4EDF" w14:textId="77777777" w:rsidTr="7B05422E">
        <w:trPr>
          <w:trHeight w:val="555"/>
        </w:trPr>
        <w:tc>
          <w:tcPr>
            <w:tcW w:w="3114" w:type="dxa"/>
            <w:vMerge/>
          </w:tcPr>
          <w:p w14:paraId="61F81F15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06CD65D7" w14:textId="7F3F49FC" w:rsidR="009E5EEE" w:rsidRPr="005E56C5" w:rsidRDefault="009E5EEE" w:rsidP="009E5EEE">
            <w:pPr>
              <w:pStyle w:val="Paragrafoelenco"/>
              <w:numPr>
                <w:ilvl w:val="0"/>
                <w:numId w:val="10"/>
              </w:numPr>
              <w:tabs>
                <w:tab w:val="left" w:pos="320"/>
              </w:tabs>
              <w:spacing w:line="276" w:lineRule="auto"/>
              <w:ind w:left="37" w:hanging="37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Leadership communicates regularly </w:t>
            </w:r>
            <w:r w:rsidR="00D0474F">
              <w:rPr>
                <w:rFonts w:asciiTheme="minorHAnsi" w:eastAsiaTheme="minorEastAsia" w:hAnsiTheme="minorHAnsi" w:cstheme="minorHAnsi"/>
                <w:color w:val="auto"/>
              </w:rPr>
              <w:t xml:space="preserve">with </w:t>
            </w:r>
            <w:proofErr w:type="gramStart"/>
            <w:r w:rsidR="00D0474F">
              <w:rPr>
                <w:rFonts w:asciiTheme="minorHAnsi" w:eastAsiaTheme="minorEastAsia" w:hAnsiTheme="minorHAnsi" w:cstheme="minorHAnsi"/>
                <w:color w:val="auto"/>
              </w:rPr>
              <w:t xml:space="preserve">staff 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in</w:t>
            </w:r>
            <w:proofErr w:type="gramEnd"/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 varied formats in order to increase awareness and instill trust in the policies, including broadcasts on the duty to report misconduct.</w:t>
            </w:r>
          </w:p>
        </w:tc>
        <w:tc>
          <w:tcPr>
            <w:tcW w:w="3260" w:type="dxa"/>
            <w:shd w:val="clear" w:color="auto" w:fill="auto"/>
          </w:tcPr>
          <w:p w14:paraId="10C88A3A" w14:textId="26DB0D74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Focus on PSEA is </w:t>
            </w:r>
            <w:r w:rsidR="00EC2B0F" w:rsidRPr="005E56C5">
              <w:rPr>
                <w:rFonts w:asciiTheme="minorHAnsi" w:hAnsiTheme="minorHAnsi" w:cstheme="minorHAnsi"/>
                <w:color w:val="auto"/>
              </w:rPr>
              <w:t>maintained</w:t>
            </w:r>
            <w:r w:rsidR="00EC2B0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>through regular initiatives with various formats (</w:t>
            </w:r>
            <w:r w:rsidR="00EC2B0F">
              <w:rPr>
                <w:rFonts w:asciiTheme="minorHAnsi" w:hAnsiTheme="minorHAnsi" w:cstheme="minorHAnsi"/>
                <w:color w:val="auto"/>
              </w:rPr>
              <w:t>meetings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, information </w:t>
            </w:r>
            <w:r w:rsidR="00EC2B0F">
              <w:rPr>
                <w:rFonts w:asciiTheme="minorHAnsi" w:hAnsiTheme="minorHAnsi" w:cstheme="minorHAnsi"/>
                <w:color w:val="auto"/>
              </w:rPr>
              <w:t>sessions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, online </w:t>
            </w:r>
            <w:r w:rsidR="00EC2B0F">
              <w:rPr>
                <w:rFonts w:asciiTheme="minorHAnsi" w:hAnsiTheme="minorHAnsi" w:cstheme="minorHAnsi"/>
                <w:color w:val="auto"/>
              </w:rPr>
              <w:t>questionnaires</w:t>
            </w:r>
            <w:r w:rsidRPr="005E56C5">
              <w:rPr>
                <w:rFonts w:asciiTheme="minorHAnsi" w:hAnsiTheme="minorHAnsi" w:cstheme="minorHAnsi"/>
                <w:color w:val="auto"/>
              </w:rPr>
              <w:t>, assessment</w:t>
            </w:r>
            <w:r w:rsidR="008641C9" w:rsidRPr="005E56C5">
              <w:rPr>
                <w:rFonts w:asciiTheme="minorHAnsi" w:hAnsiTheme="minorHAnsi" w:cstheme="minorHAnsi"/>
                <w:color w:val="auto"/>
              </w:rPr>
              <w:t>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EC2B0F">
              <w:rPr>
                <w:rFonts w:asciiTheme="minorHAnsi" w:hAnsiTheme="minorHAnsi" w:cstheme="minorHAnsi"/>
                <w:color w:val="auto"/>
              </w:rPr>
              <w:t>SMS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, other short communication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etc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>).</w:t>
            </w:r>
          </w:p>
        </w:tc>
        <w:tc>
          <w:tcPr>
            <w:tcW w:w="1706" w:type="dxa"/>
            <w:shd w:val="clear" w:color="auto" w:fill="auto"/>
          </w:tcPr>
          <w:p w14:paraId="786B917C" w14:textId="11404723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Leadership</w:t>
            </w:r>
            <w:r w:rsidR="00BA2FBF" w:rsidRPr="005E56C5">
              <w:rPr>
                <w:rFonts w:asciiTheme="minorHAnsi" w:hAnsiTheme="minorHAnsi" w:cstheme="minorHAnsi"/>
                <w:color w:val="auto"/>
              </w:rPr>
              <w:t xml:space="preserve"> with support of the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PSEA Focal Points organize at least a </w:t>
            </w:r>
            <w:r w:rsidR="00212BB5" w:rsidRPr="005E56C5">
              <w:rPr>
                <w:rFonts w:asciiTheme="minorHAnsi" w:hAnsiTheme="minorHAnsi" w:cstheme="minorHAnsi"/>
                <w:color w:val="auto"/>
              </w:rPr>
              <w:t>quarterly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initiative on PSEA</w:t>
            </w:r>
            <w:r w:rsidR="00EC2B0F">
              <w:rPr>
                <w:rFonts w:asciiTheme="minorHAnsi" w:hAnsiTheme="minorHAnsi" w:cstheme="minorHAnsi"/>
                <w:color w:val="auto"/>
              </w:rPr>
              <w:t xml:space="preserve"> for their organization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51B927A6" w14:textId="1C6F1EB0" w:rsidR="009E5EEE" w:rsidRPr="005E56C5" w:rsidRDefault="00BA2FBF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Quarterly</w:t>
            </w:r>
          </w:p>
        </w:tc>
        <w:tc>
          <w:tcPr>
            <w:tcW w:w="1275" w:type="dxa"/>
            <w:shd w:val="clear" w:color="auto" w:fill="auto"/>
          </w:tcPr>
          <w:p w14:paraId="4732F0D5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1BC5032" w14:textId="77777777" w:rsidR="009E5EEE" w:rsidRDefault="009E5EEE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APFs, Mission</w:t>
            </w:r>
          </w:p>
          <w:p w14:paraId="084DF9F1" w14:textId="2D982F93" w:rsidR="00EC2B0F" w:rsidRPr="005E56C5" w:rsidRDefault="00EC2B0F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Network members</w:t>
            </w:r>
          </w:p>
        </w:tc>
      </w:tr>
      <w:tr w:rsidR="005E56C5" w:rsidRPr="005E56C5" w14:paraId="30A0F949" w14:textId="77777777" w:rsidTr="7B05422E">
        <w:trPr>
          <w:trHeight w:val="555"/>
        </w:trPr>
        <w:tc>
          <w:tcPr>
            <w:tcW w:w="3114" w:type="dxa"/>
            <w:vMerge w:val="restart"/>
            <w:shd w:val="clear" w:color="auto" w:fill="auto"/>
          </w:tcPr>
          <w:p w14:paraId="0FB3E895" w14:textId="28BF95E3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Output 1.3</w:t>
            </w:r>
            <w:r w:rsidRPr="005E56C5">
              <w:rPr>
                <w:rFonts w:asciiTheme="minorHAnsi" w:hAnsiTheme="minorHAnsi" w:cstheme="minorHAnsi"/>
                <w:bCs/>
                <w:color w:val="auto"/>
              </w:rPr>
              <w:t xml:space="preserve"> Quality training of personnel/awareness-raising on sexual exploitation and abuse policies is conducted regularly. </w:t>
            </w:r>
          </w:p>
        </w:tc>
        <w:tc>
          <w:tcPr>
            <w:tcW w:w="3544" w:type="dxa"/>
            <w:shd w:val="clear" w:color="auto" w:fill="auto"/>
          </w:tcPr>
          <w:p w14:paraId="03EE4D23" w14:textId="1E49FDB0" w:rsidR="009E5EEE" w:rsidRPr="005E56C5" w:rsidRDefault="009E5EEE" w:rsidP="009E5EEE">
            <w:pPr>
              <w:pStyle w:val="Paragrafoelenco"/>
              <w:numPr>
                <w:ilvl w:val="0"/>
                <w:numId w:val="11"/>
              </w:numPr>
              <w:tabs>
                <w:tab w:val="left" w:pos="320"/>
              </w:tabs>
              <w:spacing w:line="276" w:lineRule="auto"/>
              <w:ind w:left="0" w:firstLine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>All UN staff and related personnel complete the mandatory</w:t>
            </w:r>
            <w:r w:rsidR="00D0474F">
              <w:rPr>
                <w:rFonts w:asciiTheme="minorHAnsi" w:eastAsiaTheme="minorEastAsia" w:hAnsiTheme="minorHAnsi" w:cstheme="minorHAnsi"/>
                <w:color w:val="auto"/>
              </w:rPr>
              <w:t xml:space="preserve"> training prior onboarding</w:t>
            </w:r>
            <w:r w:rsidRPr="005E56C5">
              <w:rPr>
                <w:rFonts w:asciiTheme="minorHAnsi" w:eastAsiaTheme="minorEastAsia" w:hAnsiTheme="minorHAnsi" w:cstheme="minorHAnsi"/>
                <w:color w:val="auto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6811E33F" w14:textId="179615F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100% of UN staff have completed the </w:t>
            </w:r>
            <w:r w:rsidR="003E2731">
              <w:rPr>
                <w:rFonts w:asciiTheme="minorHAnsi" w:hAnsiTheme="minorHAnsi" w:cstheme="minorHAnsi"/>
                <w:color w:val="auto"/>
              </w:rPr>
              <w:t xml:space="preserve">introduction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PSEA  training</w:t>
            </w:r>
            <w:proofErr w:type="gramEnd"/>
            <w:r w:rsidR="003E2731">
              <w:rPr>
                <w:rFonts w:asciiTheme="minorHAnsi" w:hAnsiTheme="minorHAnsi" w:cstheme="minorHAnsi"/>
                <w:color w:val="auto"/>
              </w:rPr>
              <w:t xml:space="preserve"> and subsequent annual refreshers</w:t>
            </w:r>
          </w:p>
        </w:tc>
        <w:tc>
          <w:tcPr>
            <w:tcW w:w="1706" w:type="dxa"/>
            <w:shd w:val="clear" w:color="auto" w:fill="auto"/>
          </w:tcPr>
          <w:p w14:paraId="75B288FD" w14:textId="1B37669A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Human resources of each entity to record </w:t>
            </w:r>
            <w:proofErr w:type="gramStart"/>
            <w:r w:rsidRPr="005E56C5">
              <w:rPr>
                <w:rFonts w:asciiTheme="minorHAnsi" w:eastAsia="Calibri" w:hAnsiTheme="minorHAnsi" w:cstheme="minorHAnsi"/>
                <w:color w:val="auto"/>
              </w:rPr>
              <w:t>copy  of</w:t>
            </w:r>
            <w:proofErr w:type="gramEnd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EC2B0F">
              <w:rPr>
                <w:rFonts w:asciiTheme="minorHAnsi" w:eastAsia="Calibri" w:hAnsiTheme="minorHAnsi" w:cstheme="minorHAnsi"/>
                <w:color w:val="auto"/>
              </w:rPr>
              <w:t xml:space="preserve">the 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>training</w:t>
            </w:r>
          </w:p>
          <w:p w14:paraId="1147D62F" w14:textId="55A68128" w:rsidR="009E5EEE" w:rsidRPr="00B11054" w:rsidRDefault="009E5EEE" w:rsidP="007D6A0B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>certificates and maintain updated tracking</w:t>
            </w:r>
            <w:r w:rsidR="00B11054"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</w:tc>
        <w:tc>
          <w:tcPr>
            <w:tcW w:w="1271" w:type="dxa"/>
            <w:shd w:val="clear" w:color="auto" w:fill="auto"/>
          </w:tcPr>
          <w:p w14:paraId="0444FF72" w14:textId="5782D0EE" w:rsidR="009E5EEE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Continuous</w:t>
            </w:r>
          </w:p>
          <w:p w14:paraId="6A09338D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01B3157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1146A3A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45215FD1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5305864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1A1DC23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DCBF5FA" w14:textId="77777777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C11A6DE" w14:textId="4C3B970C" w:rsidR="007D6A0B" w:rsidRPr="005E56C5" w:rsidRDefault="007D6A0B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BF08AF1" w14:textId="74A86AAF" w:rsidR="007D6A0B" w:rsidRPr="005E56C5" w:rsidRDefault="007D6A0B" w:rsidP="007D6A0B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260EE611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249CDB97" w14:textId="5B79555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bCs/>
                <w:color w:val="auto"/>
              </w:rPr>
              <w:t>APFs, Mission</w:t>
            </w:r>
          </w:p>
        </w:tc>
      </w:tr>
      <w:tr w:rsidR="005E56C5" w:rsidRPr="005E56C5" w14:paraId="7BA1D404" w14:textId="77777777" w:rsidTr="7B05422E">
        <w:trPr>
          <w:trHeight w:val="555"/>
        </w:trPr>
        <w:tc>
          <w:tcPr>
            <w:tcW w:w="3114" w:type="dxa"/>
            <w:vMerge/>
          </w:tcPr>
          <w:p w14:paraId="78EF3762" w14:textId="77777777" w:rsidR="009E5EEE" w:rsidRPr="005E56C5" w:rsidRDefault="009E5EEE" w:rsidP="009E5EEE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C2CA843" w14:textId="72944F88" w:rsidR="009E5EEE" w:rsidRPr="005E56C5" w:rsidRDefault="009E5EEE" w:rsidP="009E5EEE">
            <w:pPr>
              <w:pStyle w:val="Paragrafoelenco"/>
              <w:numPr>
                <w:ilvl w:val="0"/>
                <w:numId w:val="11"/>
              </w:numPr>
              <w:tabs>
                <w:tab w:val="left" w:pos="320"/>
              </w:tabs>
              <w:spacing w:line="276" w:lineRule="auto"/>
              <w:ind w:left="0" w:firstLine="0"/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>UNCT/HCT leaders certify that all allegations of sexual exploitation and abuse relating to areas within their responsibility have been accurately and fully reported.</w:t>
            </w:r>
          </w:p>
        </w:tc>
        <w:tc>
          <w:tcPr>
            <w:tcW w:w="3260" w:type="dxa"/>
            <w:shd w:val="clear" w:color="auto" w:fill="auto"/>
          </w:tcPr>
          <w:p w14:paraId="283FB6FB" w14:textId="3DF6D25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100% of Country Directors/Representatives respond to RC/HC request for centralized certification</w:t>
            </w:r>
          </w:p>
        </w:tc>
        <w:tc>
          <w:tcPr>
            <w:tcW w:w="1706" w:type="dxa"/>
            <w:shd w:val="clear" w:color="auto" w:fill="auto"/>
          </w:tcPr>
          <w:p w14:paraId="2F5B8E35" w14:textId="5F42EB8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On time response to HC/RC requests</w:t>
            </w:r>
          </w:p>
        </w:tc>
        <w:tc>
          <w:tcPr>
            <w:tcW w:w="1271" w:type="dxa"/>
            <w:shd w:val="clear" w:color="auto" w:fill="auto"/>
          </w:tcPr>
          <w:p w14:paraId="666B449E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C345889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3F355244" w14:textId="6DF8F4FD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</w:t>
            </w:r>
            <w:r w:rsidR="005C73DF" w:rsidRPr="005E56C5">
              <w:rPr>
                <w:rFonts w:asciiTheme="minorHAnsi" w:hAnsiTheme="minorHAnsi" w:cstheme="minorHAnsi"/>
                <w:color w:val="auto"/>
              </w:rPr>
              <w:t>PFs</w:t>
            </w:r>
            <w:r w:rsidR="00BA2FBF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5E56C5" w:rsidRPr="005E56C5" w14:paraId="3349DF0F" w14:textId="77777777" w:rsidTr="7B05422E">
        <w:trPr>
          <w:trHeight w:val="70"/>
        </w:trPr>
        <w:tc>
          <w:tcPr>
            <w:tcW w:w="15588" w:type="dxa"/>
            <w:gridSpan w:val="7"/>
            <w:shd w:val="clear" w:color="auto" w:fill="95B3D7" w:themeFill="accent1" w:themeFillTint="99"/>
          </w:tcPr>
          <w:p w14:paraId="755AB11F" w14:textId="77FF13D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Part B: Priority response outcomes for PSEA</w:t>
            </w:r>
          </w:p>
        </w:tc>
      </w:tr>
      <w:tr w:rsidR="005E56C5" w:rsidRPr="005E56C5" w14:paraId="72833464" w14:textId="66056856" w:rsidTr="7B05422E">
        <w:trPr>
          <w:trHeight w:val="476"/>
        </w:trPr>
        <w:tc>
          <w:tcPr>
            <w:tcW w:w="15588" w:type="dxa"/>
            <w:gridSpan w:val="7"/>
            <w:shd w:val="clear" w:color="auto" w:fill="D9D9D9" w:themeFill="background1" w:themeFillShade="D9"/>
          </w:tcPr>
          <w:p w14:paraId="78809005" w14:textId="4FBA5E7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Outcome 2. Safe and accessible reporting.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Every child and adult recipient of United Nations assistance has access to a safe, gender and child-sensitive pathways to report sexual exploitation and abuse (including through community-based complaints mechanisms)</w:t>
            </w:r>
            <w:r w:rsidRPr="005E56C5">
              <w:rPr>
                <w:rStyle w:val="Rimandonotaapidipagina"/>
                <w:rFonts w:asciiTheme="minorHAnsi" w:eastAsiaTheme="minorEastAsia" w:hAnsiTheme="minorHAnsi" w:cstheme="minorHAnsi"/>
                <w:color w:val="auto"/>
                <w:kern w:val="24"/>
              </w:rPr>
              <w:footnoteReference w:id="5"/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 xml:space="preserve"> that lead to assistance, are appropriate to the context and accessible to those in the most vulnerable situations).</w:t>
            </w:r>
          </w:p>
        </w:tc>
      </w:tr>
      <w:tr w:rsidR="005E56C5" w:rsidRPr="005E56C5" w14:paraId="5AE7977D" w14:textId="7721F56B" w:rsidTr="7B05422E">
        <w:trPr>
          <w:trHeight w:val="651"/>
        </w:trPr>
        <w:tc>
          <w:tcPr>
            <w:tcW w:w="3114" w:type="dxa"/>
            <w:vMerge w:val="restart"/>
          </w:tcPr>
          <w:p w14:paraId="3B82B9F1" w14:textId="73D57414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Output 2.1.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Safe, accessible,</w:t>
            </w:r>
            <w:r w:rsidR="00AC061E">
              <w:rPr>
                <w:rFonts w:asciiTheme="minorHAnsi" w:hAnsiTheme="minorHAnsi" w:cstheme="minorHAnsi"/>
                <w:color w:val="auto"/>
              </w:rPr>
              <w:t xml:space="preserve"> inclusive,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E2731">
              <w:rPr>
                <w:rFonts w:asciiTheme="minorHAnsi" w:hAnsiTheme="minorHAnsi" w:cstheme="minorHAnsi"/>
                <w:color w:val="auto"/>
              </w:rPr>
              <w:t>age and gender-sensitive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mechanisms are in place for reporting sexual exploitation and abuse</w:t>
            </w:r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6"/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, particularly in high-risk areas. </w:t>
            </w:r>
          </w:p>
        </w:tc>
        <w:tc>
          <w:tcPr>
            <w:tcW w:w="3544" w:type="dxa"/>
          </w:tcPr>
          <w:p w14:paraId="21241FCE" w14:textId="1F646E04" w:rsidR="009E5EEE" w:rsidRPr="005E56C5" w:rsidRDefault="009E5EEE" w:rsidP="009E5EEE">
            <w:pPr>
              <w:pStyle w:val="Paragrafoelenco"/>
              <w:numPr>
                <w:ilvl w:val="0"/>
                <w:numId w:val="1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Inter-agency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 xml:space="preserve">SOPs </w:t>
            </w:r>
            <w:r w:rsidR="003E2731">
              <w:rPr>
                <w:rFonts w:asciiTheme="minorHAnsi" w:hAnsiTheme="minorHAnsi" w:cstheme="minorHAnsi"/>
                <w:color w:val="auto"/>
                <w:lang w:val="en-GB"/>
              </w:rPr>
              <w:t xml:space="preserve"> endorsed</w:t>
            </w:r>
            <w:proofErr w:type="gramEnd"/>
            <w:r w:rsidR="003E2731">
              <w:rPr>
                <w:rFonts w:asciiTheme="minorHAnsi" w:hAnsiTheme="minorHAnsi" w:cstheme="minorHAnsi"/>
                <w:color w:val="auto"/>
                <w:lang w:val="en-GB"/>
              </w:rPr>
              <w:t xml:space="preserve"> by HCT/UNCT</w:t>
            </w:r>
          </w:p>
        </w:tc>
        <w:tc>
          <w:tcPr>
            <w:tcW w:w="3260" w:type="dxa"/>
          </w:tcPr>
          <w:p w14:paraId="24732586" w14:textId="21A44D90" w:rsidR="00270E97" w:rsidRDefault="009E5EEE" w:rsidP="009E5EEE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Interagency  Standard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Operating Procedures (SOPs) are revised and the new version endorsed  by all UNCT/HCT members.</w:t>
            </w:r>
          </w:p>
          <w:p w14:paraId="37404DD4" w14:textId="77777777" w:rsidR="009172B1" w:rsidRPr="005E56C5" w:rsidRDefault="009172B1" w:rsidP="009E5EEE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996A015" w14:textId="678CED29" w:rsidR="009E5EEE" w:rsidRPr="005E56C5" w:rsidRDefault="009E5EEE" w:rsidP="009E5EEE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All PSEA Focal Points and PSEA Network members are trained to implementation of the SOPs package</w:t>
            </w:r>
          </w:p>
          <w:p w14:paraId="02375120" w14:textId="0A4B4D4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6" w:type="dxa"/>
          </w:tcPr>
          <w:p w14:paraId="609B9BDF" w14:textId="0ECA16DA" w:rsidR="009E5EEE" w:rsidRDefault="009E5EEE" w:rsidP="009E5EEE">
            <w:pPr>
              <w:spacing w:line="242" w:lineRule="exact"/>
              <w:rPr>
                <w:rFonts w:asciiTheme="minorHAnsi" w:eastAsia="Calibri" w:hAnsiTheme="minorHAnsi" w:cstheme="minorHAnsi"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Revision of the PSEA </w:t>
            </w:r>
            <w:proofErr w:type="gramStart"/>
            <w:r w:rsidRPr="005E56C5">
              <w:rPr>
                <w:rFonts w:asciiTheme="minorHAnsi" w:eastAsia="Calibri" w:hAnsiTheme="minorHAnsi" w:cstheme="minorHAnsi"/>
                <w:color w:val="auto"/>
              </w:rPr>
              <w:t>SOP  tools</w:t>
            </w:r>
            <w:proofErr w:type="gramEnd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package.</w:t>
            </w:r>
            <w:r w:rsidRPr="005E56C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Presentation </w:t>
            </w:r>
            <w:proofErr w:type="gramStart"/>
            <w:r w:rsidRPr="005E56C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and </w:t>
            </w:r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endorsement</w:t>
            </w:r>
            <w:proofErr w:type="gramEnd"/>
            <w:r w:rsidRPr="005E56C5">
              <w:rPr>
                <w:rFonts w:asciiTheme="minorHAnsi" w:eastAsia="Calibri" w:hAnsiTheme="minorHAnsi" w:cstheme="minorHAnsi"/>
                <w:color w:val="auto"/>
              </w:rPr>
              <w:t xml:space="preserve"> by  UNCT/HCT</w:t>
            </w:r>
          </w:p>
          <w:p w14:paraId="79DB5C98" w14:textId="77777777" w:rsidR="009172B1" w:rsidRPr="005E56C5" w:rsidRDefault="009172B1" w:rsidP="009E5EEE">
            <w:pPr>
              <w:spacing w:line="242" w:lineRule="exact"/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</w:pPr>
          </w:p>
          <w:p w14:paraId="107EA6BB" w14:textId="77777777" w:rsidR="00203389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Training of PSEA Focal Points and PSEA Network members</w:t>
            </w:r>
            <w:r w:rsidR="00203389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9ADF357" w14:textId="77777777" w:rsidR="00203389" w:rsidRDefault="00203389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467BDC2" w14:textId="713726DD" w:rsidR="009E5EEE" w:rsidRPr="005E56C5" w:rsidRDefault="00203389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Development of a training module on PSEA for existing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>community networks.</w:t>
            </w:r>
            <w:r w:rsidR="00CA741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271" w:type="dxa"/>
          </w:tcPr>
          <w:p w14:paraId="0CBD32E0" w14:textId="22CF7F12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 xml:space="preserve"> June 2022</w:t>
            </w:r>
          </w:p>
          <w:p w14:paraId="722DBBCA" w14:textId="5C998C18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AFC7555" w14:textId="3AA8838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7718559" w14:textId="203258D0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A460397" w14:textId="3AC07AE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FD5D96F" w14:textId="3B30AA74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September 2022</w:t>
            </w:r>
          </w:p>
          <w:p w14:paraId="48ED3500" w14:textId="2089329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115C3CF" w14:textId="12D5DC70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F8FF967" w14:textId="77777777" w:rsidR="009E5EEE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1FBCF01" w14:textId="77777777" w:rsidR="00203389" w:rsidRDefault="00203389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DDFE729" w14:textId="5555A730" w:rsidR="00203389" w:rsidRPr="005E56C5" w:rsidRDefault="00203389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March 2023</w:t>
            </w:r>
          </w:p>
        </w:tc>
        <w:tc>
          <w:tcPr>
            <w:tcW w:w="1275" w:type="dxa"/>
          </w:tcPr>
          <w:p w14:paraId="7A99BA70" w14:textId="30D7F013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1F2048C9" w14:textId="77777777" w:rsidR="009E5EEE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PSEA Coordinator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and  Network</w:t>
            </w:r>
            <w:proofErr w:type="gramEnd"/>
          </w:p>
          <w:p w14:paraId="54AAD12B" w14:textId="77777777" w:rsidR="005315C3" w:rsidRDefault="005315C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2DEE1DA" w14:textId="77777777" w:rsidR="005315C3" w:rsidRDefault="005315C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CD0EF66" w14:textId="7074F0F8" w:rsidR="005315C3" w:rsidRPr="005E56C5" w:rsidRDefault="005315C3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PSEA Coordinator</w:t>
            </w:r>
          </w:p>
        </w:tc>
      </w:tr>
      <w:tr w:rsidR="005E56C5" w:rsidRPr="005E56C5" w14:paraId="47E178BE" w14:textId="77777777" w:rsidTr="7B05422E">
        <w:trPr>
          <w:trHeight w:val="683"/>
        </w:trPr>
        <w:tc>
          <w:tcPr>
            <w:tcW w:w="3114" w:type="dxa"/>
            <w:vMerge/>
          </w:tcPr>
          <w:p w14:paraId="2A5390A0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62E022B0" w14:textId="5D6E7542" w:rsidR="009E5EEE" w:rsidRPr="005E56C5" w:rsidRDefault="009E5EEE" w:rsidP="009E5EEE">
            <w:pPr>
              <w:pStyle w:val="Paragrafoelenco"/>
              <w:numPr>
                <w:ilvl w:val="0"/>
                <w:numId w:val="1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 variety of reporting channels appropriate to the Somalia national and local context is in place to fill reporting gaps as identified by mapping.</w:t>
            </w:r>
          </w:p>
        </w:tc>
        <w:tc>
          <w:tcPr>
            <w:tcW w:w="3260" w:type="dxa"/>
          </w:tcPr>
          <w:p w14:paraId="0C4AF37B" w14:textId="77777777" w:rsidR="009E5EEE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Multiple confidential reporting channels are available </w:t>
            </w:r>
            <w:r w:rsidR="00C20118">
              <w:rPr>
                <w:rFonts w:asciiTheme="minorHAnsi" w:hAnsiTheme="minorHAnsi" w:cstheme="minorHAnsi"/>
                <w:color w:val="auto"/>
              </w:rPr>
              <w:t>that</w:t>
            </w:r>
            <w:r w:rsidR="00C20118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>cater to the diversity of the population and differing levels of access (PLWD, Older Persons, children).</w:t>
            </w:r>
          </w:p>
          <w:p w14:paraId="4B9FAE9A" w14:textId="102D7DA7" w:rsidR="003E2731" w:rsidRPr="005E56C5" w:rsidRDefault="003E2731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Community based reporting and feedback mechanisms builds on existing mechanisms in the field.</w:t>
            </w:r>
          </w:p>
        </w:tc>
        <w:tc>
          <w:tcPr>
            <w:tcW w:w="1706" w:type="dxa"/>
          </w:tcPr>
          <w:p w14:paraId="47FA1CAA" w14:textId="4A459D9E" w:rsidR="009E5EEE" w:rsidRPr="005E56C5" w:rsidRDefault="003E2731" w:rsidP="009E5EEE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Development or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strenghthening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of m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ultiple reporting </w:t>
            </w:r>
            <w:proofErr w:type="gramStart"/>
            <w:r w:rsidR="009E5EEE" w:rsidRPr="005E56C5">
              <w:rPr>
                <w:rFonts w:asciiTheme="minorHAnsi" w:hAnsiTheme="minorHAnsi" w:cstheme="minorHAnsi"/>
                <w:color w:val="auto"/>
              </w:rPr>
              <w:t>channels  (</w:t>
            </w:r>
            <w:proofErr w:type="gramEnd"/>
            <w:r w:rsidR="009E5EEE" w:rsidRPr="005E56C5">
              <w:rPr>
                <w:rFonts w:asciiTheme="minorHAnsi" w:hAnsiTheme="minorHAnsi" w:cstheme="minorHAnsi"/>
                <w:color w:val="auto"/>
              </w:rPr>
              <w:t>e.g.</w:t>
            </w:r>
            <w:r w:rsidR="008641C9" w:rsidRPr="005E56C5">
              <w:rPr>
                <w:rFonts w:asciiTheme="minorHAnsi" w:hAnsiTheme="minorHAnsi" w:cstheme="minorHAnsi"/>
                <w:color w:val="auto"/>
              </w:rPr>
              <w:t xml:space="preserve"> a national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 inter-agency hotline, dedicated email, help desks.......)</w:t>
            </w:r>
            <w:r w:rsidR="00DA5E30" w:rsidRPr="005E56C5">
              <w:rPr>
                <w:rFonts w:asciiTheme="minorHAnsi" w:hAnsiTheme="minorHAnsi" w:cstheme="minorHAnsi"/>
                <w:color w:val="auto"/>
              </w:rPr>
              <w:t xml:space="preserve"> including PSEA  mainstreaming in existing channels (CCCM, IOM, </w:t>
            </w:r>
            <w:r w:rsidR="008641C9" w:rsidRPr="005E56C5">
              <w:rPr>
                <w:rFonts w:asciiTheme="minorHAnsi" w:hAnsiTheme="minorHAnsi" w:cstheme="minorHAnsi"/>
                <w:color w:val="auto"/>
              </w:rPr>
              <w:t>CEA TF )</w:t>
            </w:r>
          </w:p>
        </w:tc>
        <w:tc>
          <w:tcPr>
            <w:tcW w:w="1271" w:type="dxa"/>
          </w:tcPr>
          <w:p w14:paraId="612A93FA" w14:textId="15FF720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September 2022</w:t>
            </w:r>
          </w:p>
        </w:tc>
        <w:tc>
          <w:tcPr>
            <w:tcW w:w="1275" w:type="dxa"/>
          </w:tcPr>
          <w:p w14:paraId="397BBF14" w14:textId="1A5D80B0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5B5E3343" w14:textId="47D28F0A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AFPs and PSEA Network</w:t>
            </w:r>
          </w:p>
        </w:tc>
      </w:tr>
      <w:tr w:rsidR="005E56C5" w:rsidRPr="005E56C5" w14:paraId="4F60FFDC" w14:textId="267CFAB1" w:rsidTr="7B05422E">
        <w:trPr>
          <w:trHeight w:val="683"/>
        </w:trPr>
        <w:tc>
          <w:tcPr>
            <w:tcW w:w="3114" w:type="dxa"/>
            <w:vMerge/>
          </w:tcPr>
          <w:p w14:paraId="01AB895B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2CC10D99" w14:textId="4CAB855C" w:rsidR="009E5EEE" w:rsidRPr="005E56C5" w:rsidRDefault="009E5EEE" w:rsidP="009E5EEE">
            <w:pPr>
              <w:pStyle w:val="Paragrafoelenco"/>
              <w:numPr>
                <w:ilvl w:val="0"/>
                <w:numId w:val="1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Percentage of children and adults </w:t>
            </w:r>
            <w:r w:rsidR="00C20118">
              <w:rPr>
                <w:rFonts w:asciiTheme="minorHAnsi" w:hAnsiTheme="minorHAnsi" w:cstheme="minorHAnsi"/>
                <w:color w:val="auto"/>
              </w:rPr>
              <w:t>who</w:t>
            </w:r>
            <w:r w:rsidR="00C20118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have access to a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safe channel</w:t>
            </w:r>
            <w:r w:rsidR="003E2731">
              <w:rPr>
                <w:rFonts w:asciiTheme="minorHAnsi" w:hAnsiTheme="minorHAnsi" w:cstheme="minorHAnsi"/>
                <w:color w:val="auto"/>
              </w:rPr>
              <w:t>s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to report sexual exploitation and abuse.</w:t>
            </w:r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7"/>
            </w:r>
          </w:p>
        </w:tc>
        <w:tc>
          <w:tcPr>
            <w:tcW w:w="3260" w:type="dxa"/>
          </w:tcPr>
          <w:p w14:paraId="3F4AB0A0" w14:textId="1799038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100% of the affected population have access to at least one (1) safe and accessible channel to report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706" w:type="dxa"/>
          </w:tcPr>
          <w:p w14:paraId="23D577C8" w14:textId="3014B05C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In each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intervention  area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reporting channels are established and affected people informed </w:t>
            </w:r>
            <w:r w:rsidR="009C52B7" w:rsidRPr="005E56C5">
              <w:rPr>
                <w:rFonts w:asciiTheme="minorHAnsi" w:hAnsiTheme="minorHAnsi" w:cstheme="minorHAnsi"/>
                <w:color w:val="auto"/>
              </w:rPr>
              <w:t>. CCCM Annual Satisfaction Survey will collect information from site level</w:t>
            </w:r>
          </w:p>
        </w:tc>
        <w:tc>
          <w:tcPr>
            <w:tcW w:w="1271" w:type="dxa"/>
          </w:tcPr>
          <w:p w14:paraId="6E87DE0D" w14:textId="5D3B863A" w:rsidR="009E5EEE" w:rsidRPr="005E56C5" w:rsidRDefault="00270E97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June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>2023</w:t>
            </w:r>
          </w:p>
        </w:tc>
        <w:tc>
          <w:tcPr>
            <w:tcW w:w="1275" w:type="dxa"/>
          </w:tcPr>
          <w:p w14:paraId="6465B4A6" w14:textId="6295D19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23AA1BAA" w14:textId="5B692F53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APFs  PSEA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C73DF" w:rsidRPr="005E56C5">
              <w:rPr>
                <w:rFonts w:asciiTheme="minorHAnsi" w:hAnsiTheme="minorHAnsi" w:cstheme="minorHAnsi"/>
                <w:color w:val="auto"/>
              </w:rPr>
              <w:t xml:space="preserve"> Coordinator and </w:t>
            </w:r>
            <w:r w:rsidRPr="005E56C5">
              <w:rPr>
                <w:rFonts w:asciiTheme="minorHAnsi" w:hAnsiTheme="minorHAnsi" w:cstheme="minorHAnsi"/>
                <w:color w:val="auto"/>
              </w:rPr>
              <w:t>Network</w:t>
            </w:r>
          </w:p>
        </w:tc>
      </w:tr>
      <w:tr w:rsidR="005E56C5" w:rsidRPr="005E56C5" w14:paraId="0189B0BB" w14:textId="4FF4078C" w:rsidTr="7B05422E">
        <w:trPr>
          <w:trHeight w:val="710"/>
        </w:trPr>
        <w:tc>
          <w:tcPr>
            <w:tcW w:w="3114" w:type="dxa"/>
            <w:vMerge/>
          </w:tcPr>
          <w:p w14:paraId="772F9F2A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78F9F7C1" w14:textId="6429036B" w:rsidR="009E5EEE" w:rsidRPr="005E56C5" w:rsidRDefault="009E5EEE" w:rsidP="009E5EEE">
            <w:pPr>
              <w:pStyle w:val="Paragrafoelenco"/>
              <w:numPr>
                <w:ilvl w:val="0"/>
                <w:numId w:val="1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Percentage of allegations reported to the PSEA Network per month and responded to within seven days </w:t>
            </w: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(Disaggregated by age, sex, and type of complaint (less than 18; 18 and above).</w:t>
            </w:r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8"/>
            </w:r>
          </w:p>
        </w:tc>
        <w:tc>
          <w:tcPr>
            <w:tcW w:w="3260" w:type="dxa"/>
          </w:tcPr>
          <w:p w14:paraId="3142D7AA" w14:textId="0F6A88C1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 xml:space="preserve">100% of </w:t>
            </w:r>
            <w:r w:rsidR="00C20118">
              <w:rPr>
                <w:rFonts w:asciiTheme="minorHAnsi" w:hAnsiTheme="minorHAnsi" w:cstheme="minorHAnsi"/>
                <w:color w:val="auto"/>
              </w:rPr>
              <w:t>allegations</w:t>
            </w:r>
            <w:r w:rsidR="00C20118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are responded </w:t>
            </w:r>
            <w:r w:rsidR="00C20118">
              <w:rPr>
                <w:rFonts w:asciiTheme="minorHAnsi" w:hAnsiTheme="minorHAnsi" w:cstheme="minorHAnsi"/>
                <w:color w:val="auto"/>
              </w:rPr>
              <w:t xml:space="preserve">to </w:t>
            </w:r>
            <w:r w:rsidRPr="005E56C5">
              <w:rPr>
                <w:rFonts w:asciiTheme="minorHAnsi" w:hAnsiTheme="minorHAnsi" w:cstheme="minorHAnsi"/>
                <w:color w:val="auto"/>
              </w:rPr>
              <w:t>within 48 hours</w:t>
            </w:r>
            <w:r w:rsidR="001F21BC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706" w:type="dxa"/>
          </w:tcPr>
          <w:p w14:paraId="28A29DBA" w14:textId="6BBC9209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Each allegation is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responded  within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48 hours</w:t>
            </w:r>
            <w:r w:rsidR="001F21BC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271" w:type="dxa"/>
          </w:tcPr>
          <w:p w14:paraId="6093AAFA" w14:textId="6CB82504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5" w:type="dxa"/>
          </w:tcPr>
          <w:p w14:paraId="4B09961C" w14:textId="1A929E31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5FD267F0" w14:textId="098FC169" w:rsidR="00FC219D" w:rsidRPr="005E56C5" w:rsidRDefault="005C73DF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APFs,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>PSEA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Coordinator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 xml:space="preserve">and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9E5EEE" w:rsidRPr="005E56C5">
              <w:rPr>
                <w:rFonts w:asciiTheme="minorHAnsi" w:hAnsiTheme="minorHAnsi" w:cstheme="minorHAnsi"/>
                <w:color w:val="auto"/>
              </w:rPr>
              <w:lastRenderedPageBreak/>
              <w:t>Network</w:t>
            </w:r>
            <w:proofErr w:type="gramEnd"/>
            <w:r w:rsidR="00270E97" w:rsidRPr="005E56C5">
              <w:rPr>
                <w:rFonts w:asciiTheme="minorHAnsi" w:hAnsiTheme="minorHAnsi" w:cstheme="minorHAnsi"/>
                <w:color w:val="auto"/>
              </w:rPr>
              <w:t>,</w:t>
            </w:r>
            <w:r w:rsidR="00FC219D" w:rsidRPr="005E56C5">
              <w:rPr>
                <w:rFonts w:asciiTheme="minorHAnsi" w:hAnsiTheme="minorHAnsi" w:cstheme="minorHAnsi"/>
                <w:color w:val="auto"/>
              </w:rPr>
              <w:t>Risk</w:t>
            </w:r>
            <w:proofErr w:type="spellEnd"/>
            <w:r w:rsidR="00FC219D" w:rsidRPr="005E56C5">
              <w:rPr>
                <w:rFonts w:asciiTheme="minorHAnsi" w:hAnsiTheme="minorHAnsi" w:cstheme="minorHAnsi"/>
                <w:color w:val="auto"/>
              </w:rPr>
              <w:t xml:space="preserve"> Management Unit </w:t>
            </w:r>
          </w:p>
        </w:tc>
      </w:tr>
      <w:tr w:rsidR="005E56C5" w:rsidRPr="005E56C5" w14:paraId="19049B89" w14:textId="77777777" w:rsidTr="7B05422E">
        <w:trPr>
          <w:trHeight w:val="179"/>
        </w:trPr>
        <w:tc>
          <w:tcPr>
            <w:tcW w:w="3114" w:type="dxa"/>
            <w:vMerge w:val="restart"/>
          </w:tcPr>
          <w:p w14:paraId="28093DCA" w14:textId="2EFADADC" w:rsidR="009E5EEE" w:rsidRPr="00105CF4" w:rsidRDefault="00105CF4" w:rsidP="009E5EEE">
            <w:pPr>
              <w:rPr>
                <w:rFonts w:asciiTheme="minorHAnsi" w:hAnsiTheme="minorHAnsi" w:cstheme="minorHAnsi"/>
                <w:color w:val="auto"/>
              </w:rPr>
            </w:pPr>
            <w:r w:rsidRPr="00105CF4">
              <w:rPr>
                <w:rFonts w:asciiTheme="minorHAnsi" w:hAnsiTheme="minorHAnsi" w:cstheme="minorHAnsi"/>
                <w:color w:val="auto"/>
              </w:rPr>
              <w:lastRenderedPageBreak/>
              <w:t xml:space="preserve">Output 2.2. Community </w:t>
            </w:r>
            <w:proofErr w:type="spellStart"/>
            <w:r w:rsidRPr="00105CF4">
              <w:rPr>
                <w:rFonts w:asciiTheme="minorHAnsi" w:hAnsiTheme="minorHAnsi" w:cstheme="minorHAnsi"/>
                <w:color w:val="auto"/>
              </w:rPr>
              <w:t>mobilisation</w:t>
            </w:r>
            <w:proofErr w:type="spellEnd"/>
            <w:r w:rsidRPr="00105CF4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gramStart"/>
            <w:r w:rsidRPr="00105CF4">
              <w:rPr>
                <w:rFonts w:asciiTheme="minorHAnsi" w:hAnsiTheme="minorHAnsi" w:cstheme="minorHAnsi"/>
                <w:color w:val="auto"/>
              </w:rPr>
              <w:t>consultation</w:t>
            </w:r>
            <w:proofErr w:type="gramEnd"/>
            <w:r w:rsidRPr="00105CF4">
              <w:rPr>
                <w:rFonts w:asciiTheme="minorHAnsi" w:hAnsiTheme="minorHAnsi" w:cstheme="minorHAnsi"/>
                <w:color w:val="auto"/>
              </w:rPr>
              <w:t xml:space="preserve"> and awareness-raising on PSEA in each community receiving and/or affected by United Nations assistance.  Where there is an HC/HCT this would apply to all humanitarian partners.</w:t>
            </w:r>
          </w:p>
        </w:tc>
        <w:tc>
          <w:tcPr>
            <w:tcW w:w="3544" w:type="dxa"/>
          </w:tcPr>
          <w:p w14:paraId="4C1A6538" w14:textId="3C3B42BB" w:rsidR="009E5EEE" w:rsidRPr="005E56C5" w:rsidRDefault="009E5EEE" w:rsidP="009E5EEE">
            <w:pPr>
              <w:pStyle w:val="Paragrafoelenco"/>
              <w:numPr>
                <w:ilvl w:val="0"/>
                <w:numId w:val="15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Percentage of sites reached by PSEA communications materials, how to report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and how to access victi</w:t>
            </w:r>
            <w:r w:rsidR="00816801">
              <w:rPr>
                <w:rFonts w:asciiTheme="minorHAnsi" w:hAnsiTheme="minorHAnsi" w:cstheme="minorHAnsi"/>
                <w:color w:val="auto"/>
              </w:rPr>
              <w:t>m</w:t>
            </w:r>
            <w:r w:rsidRPr="005E56C5"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centred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 assistance. </w:t>
            </w:r>
          </w:p>
          <w:p w14:paraId="67898903" w14:textId="5FF895EB" w:rsidR="009E5EEE" w:rsidRPr="005E56C5" w:rsidRDefault="009E5EEE" w:rsidP="009E5EEE">
            <w:pPr>
              <w:tabs>
                <w:tab w:val="left" w:pos="319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(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disaggregated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by type of PSEA communication materials developed for each population group identified).</w:t>
            </w:r>
          </w:p>
        </w:tc>
        <w:tc>
          <w:tcPr>
            <w:tcW w:w="3260" w:type="dxa"/>
          </w:tcPr>
          <w:p w14:paraId="5916696D" w14:textId="487BC34B" w:rsidR="009E5EEE" w:rsidRPr="005E56C5" w:rsidRDefault="001F21BC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50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>% of sites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(focusing on </w:t>
            </w:r>
            <w:r w:rsidR="003E2731">
              <w:rPr>
                <w:rFonts w:asciiTheme="minorHAnsi" w:hAnsiTheme="minorHAnsi" w:cstheme="minorHAnsi"/>
                <w:color w:val="auto"/>
              </w:rPr>
              <w:t>priority 1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districts with large numbers of IDP sites such as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Banadir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, Baidoa and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Galkaayo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>.)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>reached with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 information on the prohibition of </w:t>
            </w:r>
            <w:r w:rsidR="009E5EEE"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>, how to report and receive assistance.</w:t>
            </w:r>
          </w:p>
          <w:p w14:paraId="4BD75E2D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25A1334" w14:textId="4EFFF96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Age and gender-sensitive materials on how to report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and how to access victi</w:t>
            </w:r>
            <w:r w:rsidR="00816801">
              <w:rPr>
                <w:rFonts w:asciiTheme="minorHAnsi" w:hAnsiTheme="minorHAnsi" w:cstheme="minorHAnsi"/>
                <w:color w:val="auto"/>
              </w:rPr>
              <w:t>m</w:t>
            </w:r>
            <w:r w:rsidRPr="005E56C5"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centred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 assistance developed and disseminated.</w:t>
            </w:r>
          </w:p>
        </w:tc>
        <w:tc>
          <w:tcPr>
            <w:tcW w:w="1706" w:type="dxa"/>
          </w:tcPr>
          <w:p w14:paraId="749F86EE" w14:textId="1B34B361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Production and Dissemination of </w:t>
            </w:r>
            <w:r w:rsidR="00C20118">
              <w:rPr>
                <w:rFonts w:asciiTheme="minorHAnsi" w:hAnsiTheme="minorHAnsi" w:cstheme="minorHAnsi"/>
                <w:color w:val="auto"/>
              </w:rPr>
              <w:t>culturally</w:t>
            </w:r>
            <w:r w:rsidR="00C20118" w:rsidRPr="005E56C5">
              <w:rPr>
                <w:rFonts w:asciiTheme="minorHAnsi" w:hAnsiTheme="minorHAnsi" w:cstheme="minorHAnsi"/>
                <w:color w:val="auto"/>
              </w:rPr>
              <w:t xml:space="preserve"> sensitive</w:t>
            </w:r>
            <w:r w:rsidR="00C20118">
              <w:rPr>
                <w:rFonts w:asciiTheme="minorHAnsi" w:hAnsiTheme="minorHAnsi" w:cstheme="minorHAnsi"/>
                <w:color w:val="auto"/>
              </w:rPr>
              <w:t xml:space="preserve"> awareness-raising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9502E" w:rsidRPr="005E56C5">
              <w:rPr>
                <w:rFonts w:asciiTheme="minorHAnsi" w:hAnsiTheme="minorHAnsi" w:cstheme="minorHAnsi"/>
                <w:color w:val="auto"/>
              </w:rPr>
              <w:t>messages (using radio broadcasts and SMS)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and continuous consultations with the affected population on reporting channels.     </w:t>
            </w:r>
          </w:p>
        </w:tc>
        <w:tc>
          <w:tcPr>
            <w:tcW w:w="1271" w:type="dxa"/>
          </w:tcPr>
          <w:p w14:paraId="27085EE2" w14:textId="05AFED36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December 2022</w:t>
            </w:r>
          </w:p>
        </w:tc>
        <w:tc>
          <w:tcPr>
            <w:tcW w:w="1275" w:type="dxa"/>
          </w:tcPr>
          <w:p w14:paraId="072CD8D9" w14:textId="2B00AB98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5E87C104" w14:textId="34B79478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AFP</w:t>
            </w:r>
            <w:r w:rsidR="005C73DF" w:rsidRPr="005E56C5">
              <w:rPr>
                <w:rFonts w:asciiTheme="minorHAnsi" w:hAnsiTheme="minorHAnsi" w:cstheme="minorHAnsi"/>
                <w:color w:val="auto"/>
              </w:rPr>
              <w:t>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and PSEA Network</w:t>
            </w:r>
          </w:p>
        </w:tc>
      </w:tr>
      <w:tr w:rsidR="005E56C5" w:rsidRPr="005E56C5" w14:paraId="7751B988" w14:textId="3F606867" w:rsidTr="7B05422E">
        <w:trPr>
          <w:trHeight w:val="179"/>
        </w:trPr>
        <w:tc>
          <w:tcPr>
            <w:tcW w:w="3114" w:type="dxa"/>
            <w:vMerge/>
          </w:tcPr>
          <w:p w14:paraId="2909BF1A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75F51A57" w14:textId="4D0FA023" w:rsidR="009E5EEE" w:rsidRPr="005E56C5" w:rsidRDefault="00A01B2A" w:rsidP="009E5EEE">
            <w:pPr>
              <w:tabs>
                <w:tab w:val="left" w:pos="319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b.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 xml:space="preserve">Community perceptions and communication preferences are captured on a regular basis (informally and formally through </w:t>
            </w:r>
            <w:r w:rsidR="00816801">
              <w:rPr>
                <w:rFonts w:asciiTheme="minorHAnsi" w:hAnsiTheme="minorHAnsi" w:cstheme="minorHAnsi"/>
                <w:color w:val="auto"/>
              </w:rPr>
              <w:t xml:space="preserve">GBV and </w:t>
            </w:r>
            <w:r w:rsidR="009E5EEE" w:rsidRPr="005E56C5">
              <w:rPr>
                <w:rFonts w:asciiTheme="minorHAnsi" w:hAnsiTheme="minorHAnsi" w:cstheme="minorHAnsi"/>
                <w:color w:val="auto"/>
              </w:rPr>
              <w:t>SEA risk assessments, surveys, focus group discussions, etc.), and used to improve services.</w:t>
            </w:r>
          </w:p>
        </w:tc>
        <w:tc>
          <w:tcPr>
            <w:tcW w:w="3260" w:type="dxa"/>
          </w:tcPr>
          <w:p w14:paraId="5B292486" w14:textId="53183E0B" w:rsidR="009E5EEE" w:rsidRDefault="009E5EEE" w:rsidP="009E5EEE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Development</w:t>
            </w:r>
            <w:r w:rsidR="005D5204">
              <w:rPr>
                <w:rFonts w:asciiTheme="minorHAnsi" w:hAnsiTheme="minorHAnsi" w:cstheme="minorHAnsi"/>
                <w:iCs/>
                <w:color w:val="auto"/>
              </w:rPr>
              <w:t xml:space="preserve"> and dissemination</w:t>
            </w:r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 of PSEA materials translated to the local languages</w:t>
            </w:r>
            <w:r w:rsidR="00E7332B">
              <w:rPr>
                <w:rFonts w:asciiTheme="minorHAnsi" w:hAnsiTheme="minorHAnsi" w:cstheme="minorHAnsi"/>
                <w:iCs/>
                <w:color w:val="auto"/>
              </w:rPr>
              <w:t>.</w:t>
            </w:r>
          </w:p>
          <w:p w14:paraId="42D8963C" w14:textId="06E831CC" w:rsidR="00E7332B" w:rsidRPr="005E56C5" w:rsidRDefault="00A01B2A" w:rsidP="00A01B2A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E66244">
              <w:rPr>
                <w:rFonts w:asciiTheme="minorHAnsi" w:hAnsiTheme="minorHAnsi" w:cstheme="minorHAnsi"/>
              </w:rPr>
              <w:t>Promot</w:t>
            </w:r>
            <w:r>
              <w:rPr>
                <w:rFonts w:asciiTheme="minorHAnsi" w:hAnsiTheme="minorHAnsi" w:cstheme="minorHAnsi"/>
              </w:rPr>
              <w:t>ion of</w:t>
            </w:r>
            <w:r w:rsidRPr="00E66244">
              <w:rPr>
                <w:rFonts w:asciiTheme="minorHAnsi" w:hAnsiTheme="minorHAnsi" w:cstheme="minorHAnsi"/>
              </w:rPr>
              <w:t xml:space="preserve"> meaningful participation by vulnerable groups, including, but not limited to, women, children, persons with disabilities, in activities of the PSEA network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</w:tcPr>
          <w:p w14:paraId="45EB84C8" w14:textId="346BD57A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In collaboration </w:t>
            </w:r>
            <w:proofErr w:type="gramStart"/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with  </w:t>
            </w:r>
            <w:r w:rsidR="0039502E" w:rsidRPr="005E56C5">
              <w:rPr>
                <w:rFonts w:asciiTheme="minorHAnsi" w:hAnsiTheme="minorHAnsi" w:cstheme="minorHAnsi"/>
                <w:iCs/>
                <w:color w:val="auto"/>
              </w:rPr>
              <w:t>CEA</w:t>
            </w:r>
            <w:proofErr w:type="gramEnd"/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 Working Group</w:t>
            </w:r>
            <w:r w:rsidR="006025DA" w:rsidRPr="005E56C5">
              <w:rPr>
                <w:rFonts w:asciiTheme="minorHAnsi" w:hAnsiTheme="minorHAnsi" w:cstheme="minorHAnsi"/>
                <w:iCs/>
                <w:color w:val="auto"/>
              </w:rPr>
              <w:t xml:space="preserve"> and </w:t>
            </w:r>
            <w:r w:rsidR="00C20118">
              <w:rPr>
                <w:rFonts w:asciiTheme="minorHAnsi" w:hAnsiTheme="minorHAnsi" w:cstheme="minorHAnsi"/>
                <w:iCs/>
                <w:color w:val="auto"/>
              </w:rPr>
              <w:t>minority</w:t>
            </w:r>
            <w:r w:rsidR="00C20118" w:rsidRPr="005E56C5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6025DA" w:rsidRPr="005E56C5">
              <w:rPr>
                <w:rFonts w:asciiTheme="minorHAnsi" w:hAnsiTheme="minorHAnsi" w:cstheme="minorHAnsi"/>
                <w:iCs/>
                <w:color w:val="auto"/>
              </w:rPr>
              <w:t>groups specialists</w:t>
            </w:r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  development of PSEA material  translated in local languages</w:t>
            </w:r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 xml:space="preserve"> (</w:t>
            </w:r>
            <w:proofErr w:type="spellStart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>mai</w:t>
            </w:r>
            <w:proofErr w:type="spellEnd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>mai</w:t>
            </w:r>
            <w:proofErr w:type="spellEnd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 xml:space="preserve">, </w:t>
            </w:r>
            <w:proofErr w:type="spellStart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>maxatir</w:t>
            </w:r>
            <w:proofErr w:type="spellEnd"/>
            <w:r w:rsidR="00AF200D" w:rsidRPr="005E56C5">
              <w:rPr>
                <w:rFonts w:asciiTheme="minorHAnsi" w:hAnsiTheme="minorHAnsi" w:cstheme="minorHAnsi"/>
                <w:iCs/>
                <w:color w:val="auto"/>
              </w:rPr>
              <w:t>)</w:t>
            </w:r>
            <w:r w:rsidR="0039502E" w:rsidRPr="005E56C5">
              <w:rPr>
                <w:rFonts w:asciiTheme="minorHAnsi" w:hAnsiTheme="minorHAnsi" w:cstheme="minorHAnsi"/>
                <w:iCs/>
                <w:color w:val="auto"/>
              </w:rPr>
              <w:t xml:space="preserve"> including minority languages.</w:t>
            </w:r>
            <w:r w:rsidR="005D5204">
              <w:rPr>
                <w:rFonts w:asciiTheme="minorHAnsi" w:hAnsiTheme="minorHAnsi" w:cstheme="minorHAnsi"/>
                <w:iCs/>
                <w:color w:val="auto"/>
              </w:rPr>
              <w:t xml:space="preserve"> The </w:t>
            </w:r>
            <w:r w:rsidR="005D5204">
              <w:rPr>
                <w:rFonts w:asciiTheme="minorHAnsi" w:hAnsiTheme="minorHAnsi" w:cstheme="minorHAnsi"/>
                <w:iCs/>
                <w:color w:val="auto"/>
              </w:rPr>
              <w:lastRenderedPageBreak/>
              <w:t xml:space="preserve">material will be made available </w:t>
            </w:r>
            <w:proofErr w:type="gramStart"/>
            <w:r w:rsidR="005D5204">
              <w:rPr>
                <w:rFonts w:asciiTheme="minorHAnsi" w:hAnsiTheme="minorHAnsi" w:cstheme="minorHAnsi"/>
                <w:iCs/>
                <w:color w:val="auto"/>
              </w:rPr>
              <w:t>in  accessible</w:t>
            </w:r>
            <w:proofErr w:type="gramEnd"/>
            <w:r w:rsidR="005D5204">
              <w:rPr>
                <w:rFonts w:asciiTheme="minorHAnsi" w:hAnsiTheme="minorHAnsi" w:cstheme="minorHAnsi"/>
                <w:iCs/>
                <w:color w:val="auto"/>
              </w:rPr>
              <w:t xml:space="preserve"> and inclusive formats.</w:t>
            </w:r>
          </w:p>
        </w:tc>
        <w:tc>
          <w:tcPr>
            <w:tcW w:w="1271" w:type="dxa"/>
          </w:tcPr>
          <w:p w14:paraId="17559F65" w14:textId="6AFB7C6F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lastRenderedPageBreak/>
              <w:t>December 2022</w:t>
            </w:r>
          </w:p>
        </w:tc>
        <w:tc>
          <w:tcPr>
            <w:tcW w:w="1275" w:type="dxa"/>
          </w:tcPr>
          <w:p w14:paraId="7D53FCB2" w14:textId="77777777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1418" w:type="dxa"/>
          </w:tcPr>
          <w:p w14:paraId="79989DCB" w14:textId="5A26C5EE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AAP/ PSEA Coordinators and Networks</w:t>
            </w:r>
            <w:r w:rsidR="00FC219D" w:rsidRPr="005E56C5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</w:p>
          <w:p w14:paraId="235250A8" w14:textId="548BABD6" w:rsidR="006025DA" w:rsidRPr="005E56C5" w:rsidRDefault="006025DA" w:rsidP="006025DA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In collaboration with </w:t>
            </w:r>
            <w:r w:rsidR="00270E97" w:rsidRPr="005E56C5">
              <w:rPr>
                <w:rFonts w:asciiTheme="minorHAnsi" w:hAnsiTheme="minorHAnsi" w:cstheme="minorHAnsi"/>
                <w:iCs/>
                <w:color w:val="auto"/>
              </w:rPr>
              <w:t xml:space="preserve">technical specialists </w:t>
            </w:r>
          </w:p>
          <w:p w14:paraId="7091FF6C" w14:textId="50AECA58" w:rsidR="009E5EEE" w:rsidRPr="005E56C5" w:rsidRDefault="009E5EEE" w:rsidP="00270E97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5E56C5" w:rsidRPr="005E56C5" w14:paraId="7BF70ABD" w14:textId="2C00C16E" w:rsidTr="7B05422E">
        <w:trPr>
          <w:trHeight w:val="277"/>
        </w:trPr>
        <w:tc>
          <w:tcPr>
            <w:tcW w:w="15588" w:type="dxa"/>
            <w:gridSpan w:val="7"/>
            <w:shd w:val="clear" w:color="auto" w:fill="D9D9D9" w:themeFill="background1" w:themeFillShade="D9"/>
          </w:tcPr>
          <w:p w14:paraId="340961B8" w14:textId="4ACE6030" w:rsidR="009E5EEE" w:rsidRPr="005E56C5" w:rsidRDefault="009E5EEE" w:rsidP="009E5EEE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Outcome 3. Victims’ right to assistance.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  <w:lang w:eastAsia="en-US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Every child and adult victim/survivor/complainant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is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offered immediate, quality assistance (medical care, psychosocial support, legal assistance, reintegration support).</w:t>
            </w:r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9"/>
            </w:r>
          </w:p>
        </w:tc>
      </w:tr>
      <w:tr w:rsidR="00105CF4" w:rsidRPr="005E56C5" w14:paraId="201E1BAF" w14:textId="77777777" w:rsidTr="7B05422E">
        <w:trPr>
          <w:trHeight w:val="402"/>
        </w:trPr>
        <w:tc>
          <w:tcPr>
            <w:tcW w:w="3114" w:type="dxa"/>
            <w:vMerge w:val="restart"/>
          </w:tcPr>
          <w:p w14:paraId="5EE367BB" w14:textId="4B4EE25C" w:rsidR="00105CF4" w:rsidRPr="005E56C5" w:rsidRDefault="00105CF4" w:rsidP="00105CF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05CF4">
              <w:rPr>
                <w:rFonts w:asciiTheme="minorHAnsi" w:hAnsiTheme="minorHAnsi" w:cstheme="minorHAnsi"/>
                <w:b/>
                <w:bCs/>
              </w:rPr>
              <w:t>Output 3.1</w:t>
            </w:r>
            <w:r w:rsidRPr="00105CF4">
              <w:rPr>
                <w:rFonts w:asciiTheme="minorHAnsi" w:hAnsiTheme="minorHAnsi" w:cstheme="minorHAnsi"/>
              </w:rPr>
              <w:t xml:space="preserve"> </w:t>
            </w:r>
            <w:r w:rsidR="00816801">
              <w:rPr>
                <w:rFonts w:asciiTheme="minorHAnsi" w:hAnsiTheme="minorHAnsi" w:cstheme="minorHAnsi"/>
              </w:rPr>
              <w:t xml:space="preserve">Victims of </w:t>
            </w:r>
            <w:r w:rsidRPr="00105CF4">
              <w:rPr>
                <w:rFonts w:asciiTheme="minorHAnsi" w:hAnsiTheme="minorHAnsi" w:cstheme="minorHAnsi"/>
              </w:rPr>
              <w:t>S</w:t>
            </w:r>
            <w:r w:rsidRPr="00105CF4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exual exploitation and sexual abuse</w:t>
            </w:r>
            <w:r w:rsidRPr="00105CF4">
              <w:rPr>
                <w:rFonts w:asciiTheme="minorHAnsi" w:hAnsiTheme="minorHAnsi" w:cstheme="minorHAnsi"/>
              </w:rPr>
              <w:t xml:space="preserve"> </w:t>
            </w:r>
            <w:r w:rsidR="00816801">
              <w:rPr>
                <w:rFonts w:asciiTheme="minorHAnsi" w:hAnsiTheme="minorHAnsi" w:cstheme="minorHAnsi"/>
              </w:rPr>
              <w:t>are provided with services through</w:t>
            </w:r>
            <w:r w:rsidRPr="00105CF4">
              <w:rPr>
                <w:rFonts w:asciiTheme="minorHAnsi" w:hAnsiTheme="minorHAnsi" w:cstheme="minorHAnsi"/>
              </w:rPr>
              <w:t xml:space="preserve">  Gender-Based Violence (GBV) or Child Protection (CP) programming </w:t>
            </w:r>
            <w:r w:rsidR="008905FF">
              <w:rPr>
                <w:rFonts w:asciiTheme="minorHAnsi" w:hAnsiTheme="minorHAnsi" w:cstheme="minorHAnsi"/>
              </w:rPr>
              <w:t xml:space="preserve">including </w:t>
            </w:r>
            <w:r w:rsidRPr="00105CF4">
              <w:rPr>
                <w:rFonts w:asciiTheme="minorHAnsi" w:hAnsiTheme="minorHAnsi" w:cstheme="minorHAnsi"/>
              </w:rPr>
              <w:t>project proposal</w:t>
            </w:r>
            <w:r w:rsidR="008905FF">
              <w:rPr>
                <w:rFonts w:asciiTheme="minorHAnsi" w:hAnsiTheme="minorHAnsi" w:cstheme="minorHAnsi"/>
              </w:rPr>
              <w:t>s</w:t>
            </w:r>
            <w:r w:rsidRPr="00105CF4">
              <w:rPr>
                <w:rFonts w:asciiTheme="minorHAnsi" w:hAnsiTheme="minorHAnsi" w:cstheme="minorHAnsi"/>
              </w:rPr>
              <w:t xml:space="preserve"> submitted to the </w:t>
            </w:r>
            <w:hyperlink r:id="rId12" w:history="1">
              <w:r w:rsidRPr="00105CF4">
                <w:rPr>
                  <w:rStyle w:val="Collegamentoipertestuale"/>
                  <w:rFonts w:asciiTheme="minorHAnsi" w:hAnsiTheme="minorHAnsi" w:cstheme="minorHAnsi"/>
                </w:rPr>
                <w:t>Trust Fund in Support of Victims of Sexual Exploitation and Abuse</w:t>
              </w:r>
            </w:hyperlink>
            <w:r w:rsidRPr="001371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FEDE8F" w14:textId="2C4ECD26" w:rsidR="00105CF4" w:rsidRPr="005E56C5" w:rsidRDefault="00105CF4" w:rsidP="00105CF4">
            <w:pPr>
              <w:pStyle w:val="Paragrafoelenco"/>
              <w:numPr>
                <w:ilvl w:val="0"/>
                <w:numId w:val="12"/>
              </w:numPr>
              <w:tabs>
                <w:tab w:val="left" w:pos="319"/>
              </w:tabs>
              <w:spacing w:line="276" w:lineRule="auto"/>
              <w:ind w:left="0" w:firstLine="3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Number and percentage of SEA victims who have been promptly referred to quality assistance, as part of ongoing GBV and CP programming</w:t>
            </w:r>
            <w:r w:rsidR="00F22AD1">
              <w:rPr>
                <w:rFonts w:asciiTheme="minorHAnsi" w:hAnsiTheme="minorHAnsi" w:cstheme="minorHAnsi"/>
                <w:color w:val="auto"/>
              </w:rPr>
              <w:t xml:space="preserve"> (disaggregated by age and sex and type of assistance received)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646C3CBF" w14:textId="6620E998" w:rsidR="00105CF4" w:rsidRPr="005E56C5" w:rsidRDefault="00105CF4" w:rsidP="00105CF4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100% of victims are referred for assistance and received support within 48 hours</w:t>
            </w:r>
            <w:r w:rsidR="004568CB">
              <w:rPr>
                <w:rFonts w:asciiTheme="minorHAnsi" w:hAnsiTheme="minorHAnsi" w:cstheme="minorHAnsi"/>
                <w:color w:val="auto"/>
              </w:rPr>
              <w:t xml:space="preserve"> (including in hard to reach/</w:t>
            </w:r>
            <w:proofErr w:type="spellStart"/>
            <w:proofErr w:type="gramStart"/>
            <w:r w:rsidR="004568CB">
              <w:rPr>
                <w:rFonts w:asciiTheme="minorHAnsi" w:hAnsiTheme="minorHAnsi" w:cstheme="minorHAnsi"/>
                <w:color w:val="auto"/>
              </w:rPr>
              <w:t>non government</w:t>
            </w:r>
            <w:proofErr w:type="spellEnd"/>
            <w:proofErr w:type="gramEnd"/>
            <w:r w:rsidR="004568CB">
              <w:rPr>
                <w:rFonts w:asciiTheme="minorHAnsi" w:hAnsiTheme="minorHAnsi" w:cstheme="minorHAnsi"/>
                <w:color w:val="auto"/>
              </w:rPr>
              <w:t xml:space="preserve"> controlled areas)</w:t>
            </w:r>
          </w:p>
          <w:p w14:paraId="6BACE7DE" w14:textId="628F9EA2" w:rsidR="00105CF4" w:rsidRPr="005E56C5" w:rsidRDefault="00105CF4" w:rsidP="00105CF4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6" w:type="dxa"/>
            <w:shd w:val="clear" w:color="auto" w:fill="auto"/>
          </w:tcPr>
          <w:p w14:paraId="3EA9D4C2" w14:textId="17AE4E4D" w:rsidR="00105CF4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SEA victims are referred and receiving adequate assistance from the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GBV  service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providers.  </w:t>
            </w:r>
          </w:p>
          <w:p w14:paraId="145C352E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7970BC0" w14:textId="77777777" w:rsidR="00385C92" w:rsidRPr="00385C92" w:rsidRDefault="00385C92" w:rsidP="00385C92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85C92">
              <w:rPr>
                <w:rFonts w:asciiTheme="minorHAnsi" w:hAnsiTheme="minorHAnsi" w:cstheme="minorHAnsi"/>
                <w:color w:val="auto"/>
              </w:rPr>
              <w:t>Advocacy for ensuring and facilitating accessibility in hard to reach/non-</w:t>
            </w:r>
            <w:proofErr w:type="gramStart"/>
            <w:r w:rsidRPr="00385C92">
              <w:rPr>
                <w:rFonts w:asciiTheme="minorHAnsi" w:hAnsiTheme="minorHAnsi" w:cstheme="minorHAnsi"/>
                <w:color w:val="auto"/>
              </w:rPr>
              <w:t>government controlled</w:t>
            </w:r>
            <w:proofErr w:type="gramEnd"/>
            <w:r w:rsidRPr="00385C92">
              <w:rPr>
                <w:rFonts w:asciiTheme="minorHAnsi" w:hAnsiTheme="minorHAnsi" w:cstheme="minorHAnsi"/>
                <w:color w:val="auto"/>
              </w:rPr>
              <w:t xml:space="preserve"> areas.</w:t>
            </w:r>
          </w:p>
          <w:p w14:paraId="63481A45" w14:textId="4E7FB554" w:rsidR="00385C92" w:rsidRPr="005E56C5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</w:tcPr>
          <w:p w14:paraId="3274BCC7" w14:textId="77777777" w:rsidR="00105CF4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Continuous</w:t>
            </w:r>
          </w:p>
          <w:p w14:paraId="0B44BBF3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9F154AC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8076559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EA9F0A1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0BFCD8D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E09E7D0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C41499B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AEB5CE0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E2A7271" w14:textId="77777777" w:rsidR="00385C92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024B530" w14:textId="07BA30D2" w:rsidR="00385C92" w:rsidRPr="005E56C5" w:rsidRDefault="00385C92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Continuous</w:t>
            </w:r>
          </w:p>
        </w:tc>
        <w:tc>
          <w:tcPr>
            <w:tcW w:w="1275" w:type="dxa"/>
          </w:tcPr>
          <w:p w14:paraId="7B47D065" w14:textId="53DC7D3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2DE04590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PSEA Network/</w:t>
            </w:r>
          </w:p>
          <w:p w14:paraId="0D12AA5B" w14:textId="02A5CE1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GBV Sub Cluster</w:t>
            </w:r>
          </w:p>
        </w:tc>
      </w:tr>
      <w:tr w:rsidR="00105CF4" w:rsidRPr="005E56C5" w14:paraId="6851B2A1" w14:textId="070C3361" w:rsidTr="7B05422E">
        <w:trPr>
          <w:trHeight w:val="402"/>
        </w:trPr>
        <w:tc>
          <w:tcPr>
            <w:tcW w:w="3114" w:type="dxa"/>
            <w:vMerge/>
          </w:tcPr>
          <w:p w14:paraId="5030B86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781F9DB6" w14:textId="63E91D6C" w:rsidR="00105CF4" w:rsidRPr="005E56C5" w:rsidRDefault="00105CF4" w:rsidP="00105CF4">
            <w:pPr>
              <w:tabs>
                <w:tab w:val="left" w:pos="319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</w:rPr>
              <w:t>b.</w:t>
            </w:r>
            <w:r w:rsidRPr="005E56C5">
              <w:rPr>
                <w:rFonts w:asciiTheme="minorHAnsi" w:hAnsiTheme="minorHAnsi" w:cstheme="minorHAnsi"/>
                <w:color w:val="auto"/>
              </w:rPr>
              <w:t>Funding</w:t>
            </w:r>
            <w:proofErr w:type="spellEnd"/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/resources for assistance to victims/survivors of sexual exploitation and abuse is available. </w:t>
            </w:r>
          </w:p>
        </w:tc>
        <w:tc>
          <w:tcPr>
            <w:tcW w:w="3260" w:type="dxa"/>
            <w:shd w:val="clear" w:color="auto" w:fill="auto"/>
          </w:tcPr>
          <w:p w14:paraId="22FC8118" w14:textId="59ED1D0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There is a joint/contingency/ dedicated fund or pooled resources at country level.</w:t>
            </w:r>
          </w:p>
        </w:tc>
        <w:tc>
          <w:tcPr>
            <w:tcW w:w="1706" w:type="dxa"/>
            <w:shd w:val="clear" w:color="auto" w:fill="auto"/>
          </w:tcPr>
          <w:p w14:paraId="3AEE7029" w14:textId="77D375F9" w:rsidR="00105CF4" w:rsidRPr="005E56C5" w:rsidRDefault="00E07360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 joint budget for implementation of the Action Plan is developed and funded.</w:t>
            </w:r>
          </w:p>
        </w:tc>
        <w:tc>
          <w:tcPr>
            <w:tcW w:w="1271" w:type="dxa"/>
          </w:tcPr>
          <w:p w14:paraId="7A6C848C" w14:textId="6324C628" w:rsidR="00105CF4" w:rsidRPr="005E56C5" w:rsidRDefault="00E07360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July 2022</w:t>
            </w:r>
          </w:p>
        </w:tc>
        <w:tc>
          <w:tcPr>
            <w:tcW w:w="1275" w:type="dxa"/>
          </w:tcPr>
          <w:p w14:paraId="6175FFA0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7A1BB2ED" w14:textId="70AE155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05CF4" w:rsidRPr="005E56C5" w14:paraId="21DA6030" w14:textId="13AC3220" w:rsidTr="7B05422E">
        <w:trPr>
          <w:trHeight w:val="290"/>
        </w:trPr>
        <w:tc>
          <w:tcPr>
            <w:tcW w:w="3114" w:type="dxa"/>
            <w:vMerge w:val="restart"/>
          </w:tcPr>
          <w:p w14:paraId="213EAD3F" w14:textId="14FEB0E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Output 3.2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PSEA Networks have referral pathways for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victi</w:t>
            </w:r>
            <w:r w:rsidR="008905FF">
              <w:rPr>
                <w:rFonts w:asciiTheme="minorHAnsi" w:hAnsiTheme="minorHAnsi" w:cstheme="minorHAnsi"/>
                <w:color w:val="auto"/>
              </w:rPr>
              <w:t>ms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assistance in place, as part of an integrated approach with GBV services.</w:t>
            </w:r>
          </w:p>
        </w:tc>
        <w:tc>
          <w:tcPr>
            <w:tcW w:w="3544" w:type="dxa"/>
          </w:tcPr>
          <w:p w14:paraId="7C890CCB" w14:textId="09D521A1" w:rsidR="00105CF4" w:rsidRPr="005E56C5" w:rsidRDefault="00105CF4" w:rsidP="00105CF4">
            <w:pPr>
              <w:pStyle w:val="Paragrafoelenco"/>
              <w:numPr>
                <w:ilvl w:val="0"/>
                <w:numId w:val="18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bookmarkStart w:id="1" w:name="_Hlk525751164"/>
            <w:r w:rsidRPr="005E56C5">
              <w:rPr>
                <w:rFonts w:asciiTheme="minorHAnsi" w:eastAsia="Times New Roman" w:hAnsiTheme="minorHAnsi" w:cstheme="minorHAnsi"/>
                <w:color w:val="auto"/>
              </w:rPr>
              <w:t xml:space="preserve">Status of implementation by PSEA Network of protocol for referral and provision of services for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Pr="005E56C5">
              <w:rPr>
                <w:rFonts w:asciiTheme="minorHAnsi" w:eastAsia="Times New Roman" w:hAnsiTheme="minorHAnsi" w:cstheme="minorHAnsi"/>
                <w:color w:val="auto"/>
              </w:rPr>
              <w:t xml:space="preserve"> victims (in line with GBV referral pathways</w:t>
            </w:r>
            <w:bookmarkEnd w:id="1"/>
            <w:r w:rsidRPr="005E56C5">
              <w:rPr>
                <w:rFonts w:asciiTheme="minorHAnsi" w:eastAsia="Times New Roman" w:hAnsiTheme="minorHAnsi" w:cstheme="minorHAnsi"/>
                <w:color w:val="auto"/>
              </w:rPr>
              <w:t>).</w:t>
            </w:r>
            <w:r w:rsidRPr="005E56C5">
              <w:rPr>
                <w:rStyle w:val="Rimandonotaapidipagina"/>
                <w:rFonts w:asciiTheme="minorHAnsi" w:eastAsia="Times New Roman" w:hAnsiTheme="minorHAnsi" w:cstheme="minorHAnsi"/>
                <w:color w:val="auto"/>
              </w:rPr>
              <w:footnoteReference w:id="10"/>
            </w:r>
          </w:p>
        </w:tc>
        <w:tc>
          <w:tcPr>
            <w:tcW w:w="3260" w:type="dxa"/>
          </w:tcPr>
          <w:p w14:paraId="6A79EF8C" w14:textId="3D19573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GBV referral pathway integrated within PSEA Network SOPs.</w:t>
            </w:r>
          </w:p>
        </w:tc>
        <w:tc>
          <w:tcPr>
            <w:tcW w:w="1706" w:type="dxa"/>
          </w:tcPr>
          <w:p w14:paraId="567D595E" w14:textId="280C7A9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GBV referral pathway is integrated in SEA Reporting SOPs. </w:t>
            </w:r>
          </w:p>
        </w:tc>
        <w:tc>
          <w:tcPr>
            <w:tcW w:w="1271" w:type="dxa"/>
          </w:tcPr>
          <w:p w14:paraId="3868608C" w14:textId="23CBA94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June 2022</w:t>
            </w:r>
          </w:p>
        </w:tc>
        <w:tc>
          <w:tcPr>
            <w:tcW w:w="1275" w:type="dxa"/>
          </w:tcPr>
          <w:p w14:paraId="55229880" w14:textId="3459463D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500BAB33" w14:textId="23B2D02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Network and GBV Sub Cluster</w:t>
            </w:r>
          </w:p>
        </w:tc>
      </w:tr>
      <w:tr w:rsidR="00105CF4" w:rsidRPr="005E56C5" w14:paraId="28F3ED0B" w14:textId="77777777" w:rsidTr="7B05422E">
        <w:trPr>
          <w:trHeight w:val="290"/>
        </w:trPr>
        <w:tc>
          <w:tcPr>
            <w:tcW w:w="3114" w:type="dxa"/>
            <w:vMerge/>
          </w:tcPr>
          <w:p w14:paraId="54DA063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4B2E39A3" w14:textId="6245D005" w:rsidR="00105CF4" w:rsidRPr="005E56C5" w:rsidRDefault="00105CF4" w:rsidP="00105CF4">
            <w:pPr>
              <w:pStyle w:val="Paragrafoelenco"/>
              <w:numPr>
                <w:ilvl w:val="0"/>
                <w:numId w:val="18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5E56C5">
              <w:rPr>
                <w:rFonts w:asciiTheme="minorHAnsi" w:eastAsia="Calibri" w:hAnsiTheme="minorHAnsi" w:cstheme="minorHAnsi"/>
                <w:bCs/>
                <w:color w:val="auto"/>
                <w:lang w:eastAsia="en-US"/>
              </w:rPr>
              <w:t>Tracking and data collection on victims and victim assistance.</w:t>
            </w:r>
          </w:p>
        </w:tc>
        <w:tc>
          <w:tcPr>
            <w:tcW w:w="3260" w:type="dxa"/>
            <w:shd w:val="clear" w:color="auto" w:fill="auto"/>
          </w:tcPr>
          <w:p w14:paraId="4BAF34F4" w14:textId="53F2800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 monthly data tracking matrix with non-identifiable information on number of SEA allegations, profile of victims and perpetrators and received assistance is available and provide</w:t>
            </w:r>
            <w:r w:rsidR="00C20118">
              <w:rPr>
                <w:rFonts w:asciiTheme="minorHAnsi" w:hAnsiTheme="minorHAnsi" w:cstheme="minorHAnsi"/>
                <w:color w:val="auto"/>
              </w:rPr>
              <w:t>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data for trend analysis.</w:t>
            </w:r>
          </w:p>
          <w:p w14:paraId="73EA070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E46A7DC" w14:textId="04FAC48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Data is disaggregated according to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="00A01B2A">
              <w:rPr>
                <w:rFonts w:asciiTheme="minorHAnsi" w:hAnsiTheme="minorHAnsi" w:cstheme="minorHAnsi"/>
                <w:color w:val="auto"/>
              </w:rPr>
              <w:t xml:space="preserve"> SEA</w:t>
            </w:r>
            <w:proofErr w:type="gramEnd"/>
            <w:r w:rsidR="00A01B2A">
              <w:rPr>
                <w:rFonts w:asciiTheme="minorHAnsi" w:hAnsiTheme="minorHAnsi" w:cstheme="minorHAnsi"/>
                <w:color w:val="auto"/>
              </w:rPr>
              <w:t xml:space="preserve"> Reporting SOPs categories  and Data Tracking Matrix</w:t>
            </w:r>
            <w:r w:rsidR="008905FF">
              <w:rPr>
                <w:rFonts w:asciiTheme="minorHAnsi" w:hAnsiTheme="minorHAnsi" w:cstheme="minorHAnsi"/>
                <w:color w:val="auto"/>
              </w:rPr>
              <w:t>.</w:t>
            </w:r>
            <w:r w:rsidR="00A01B2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7303F2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7660199" w14:textId="6B0875A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Each allegation received by PSEA Network members is communicated to DSRSG/RC/HC as per Jane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Lut</w:t>
            </w:r>
            <w:r w:rsidR="00385C92">
              <w:rPr>
                <w:rFonts w:asciiTheme="minorHAnsi" w:hAnsiTheme="minorHAnsi" w:cstheme="minorHAnsi"/>
                <w:color w:val="auto"/>
              </w:rPr>
              <w:t>t</w:t>
            </w:r>
            <w:r w:rsidRPr="005E56C5">
              <w:rPr>
                <w:rFonts w:asciiTheme="minorHAnsi" w:hAnsiTheme="minorHAnsi" w:cstheme="minorHAnsi"/>
                <w:color w:val="auto"/>
              </w:rPr>
              <w:t>e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 Guidance Note 26/11/2021</w:t>
            </w:r>
            <w:r w:rsidR="00385C92">
              <w:rPr>
                <w:rFonts w:asciiTheme="minorHAnsi" w:hAnsiTheme="minorHAnsi" w:cstheme="minorHAnsi"/>
                <w:color w:val="auto"/>
              </w:rPr>
              <w:t xml:space="preserve"> and Somalia PSEA SOPs.</w:t>
            </w:r>
          </w:p>
        </w:tc>
        <w:tc>
          <w:tcPr>
            <w:tcW w:w="1706" w:type="dxa"/>
          </w:tcPr>
          <w:p w14:paraId="4ABDAE48" w14:textId="05B8F10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Data tracking matrix developed and disseminated. UNCT/HCT endorsed.</w:t>
            </w:r>
          </w:p>
          <w:p w14:paraId="23037495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8DF712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5CC09B6" w14:textId="741D735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Monthly contributions to the Matrix by Entities FPs.</w:t>
            </w:r>
          </w:p>
          <w:p w14:paraId="7F0E60E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E73EFF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7FD2297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000ADD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73E910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416531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F582D30" w14:textId="164EB22E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</w:tcPr>
          <w:p w14:paraId="686DB82A" w14:textId="569C4634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August 2022</w:t>
            </w:r>
          </w:p>
          <w:p w14:paraId="443E1D12" w14:textId="1DEE0FC3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0DF659C" w14:textId="2549ED3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01EEF4A" w14:textId="5DCEB13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D7161D2" w14:textId="61C2A32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2F93422" w14:textId="2D51BB9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700604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3967563" w14:textId="1F04D23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Monthly</w:t>
            </w:r>
          </w:p>
          <w:p w14:paraId="129F95C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D9DCD76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C954924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5DF381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4CA65C6" w14:textId="59708D6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Continuos</w:t>
            </w:r>
            <w:proofErr w:type="spellEnd"/>
          </w:p>
        </w:tc>
        <w:tc>
          <w:tcPr>
            <w:tcW w:w="1275" w:type="dxa"/>
          </w:tcPr>
          <w:p w14:paraId="43AF46E1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0A68AEB7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</w:t>
            </w:r>
          </w:p>
          <w:p w14:paraId="35025E4C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995A2F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7D814F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86CCC8C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3BD68F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133ABA1" w14:textId="047AE375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FPs.</w:t>
            </w:r>
          </w:p>
          <w:p w14:paraId="03EF951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818791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B561CC5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CFA9376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63EF96F" w14:textId="57F42EE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Head of Agencies, CDs,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Reresentatives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105CF4" w:rsidRPr="005E56C5" w14:paraId="5179CF31" w14:textId="6AB3987E" w:rsidTr="7B05422E">
        <w:trPr>
          <w:trHeight w:val="277"/>
        </w:trPr>
        <w:tc>
          <w:tcPr>
            <w:tcW w:w="15588" w:type="dxa"/>
            <w:gridSpan w:val="7"/>
            <w:shd w:val="clear" w:color="auto" w:fill="D9D9D9" w:themeFill="background1" w:themeFillShade="D9"/>
          </w:tcPr>
          <w:p w14:paraId="06EE193B" w14:textId="71C793D4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Outcome 4. </w:t>
            </w: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Accountability and investigations</w:t>
            </w: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. 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Every child and adult victim/survivor of 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sexual exploitation and abuse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who is willing has their case investigated in a prompt, and safe way in accordance with a victims’/survivors’ rights approach.</w:t>
            </w:r>
          </w:p>
        </w:tc>
      </w:tr>
      <w:tr w:rsidR="00105CF4" w:rsidRPr="005E56C5" w14:paraId="19199414" w14:textId="77777777" w:rsidTr="7B05422E">
        <w:trPr>
          <w:trHeight w:val="278"/>
        </w:trPr>
        <w:tc>
          <w:tcPr>
            <w:tcW w:w="3114" w:type="dxa"/>
            <w:shd w:val="clear" w:color="auto" w:fill="auto"/>
          </w:tcPr>
          <w:p w14:paraId="2122A765" w14:textId="23513DFD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Output 4.2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S</w:t>
            </w:r>
            <w:r w:rsidRPr="005E56C5">
              <w:rPr>
                <w:rFonts w:asciiTheme="minorHAnsi" w:eastAsiaTheme="minorEastAsia" w:hAnsiTheme="minorHAnsi" w:cstheme="minorHAnsi"/>
                <w:color w:val="auto"/>
                <w:kern w:val="24"/>
              </w:rPr>
              <w:t>exual exploitation and sexual abuse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victims informed of and/or supported in relation to </w:t>
            </w: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investigations and accountability processes.</w:t>
            </w:r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11"/>
            </w:r>
          </w:p>
        </w:tc>
        <w:tc>
          <w:tcPr>
            <w:tcW w:w="3544" w:type="dxa"/>
            <w:shd w:val="clear" w:color="auto" w:fill="auto"/>
          </w:tcPr>
          <w:p w14:paraId="497C9F83" w14:textId="7EC3E46E" w:rsidR="00105CF4" w:rsidRPr="005E56C5" w:rsidRDefault="00105CF4" w:rsidP="00105CF4">
            <w:pPr>
              <w:pStyle w:val="Paragrafoelenco"/>
              <w:numPr>
                <w:ilvl w:val="0"/>
                <w:numId w:val="17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Percentage of victims who are informed of the outcome of the investigations.</w:t>
            </w:r>
          </w:p>
        </w:tc>
        <w:tc>
          <w:tcPr>
            <w:tcW w:w="3260" w:type="dxa"/>
            <w:shd w:val="clear" w:color="auto" w:fill="auto"/>
          </w:tcPr>
          <w:p w14:paraId="4D004BEA" w14:textId="3C1F41C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100% victims</w:t>
            </w:r>
            <w:r w:rsidR="005D62E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are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inform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of the outcome of the investigations.</w:t>
            </w:r>
          </w:p>
        </w:tc>
        <w:tc>
          <w:tcPr>
            <w:tcW w:w="1706" w:type="dxa"/>
            <w:shd w:val="clear" w:color="auto" w:fill="auto"/>
          </w:tcPr>
          <w:p w14:paraId="1F6D3C5B" w14:textId="467E52B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Data analysis is performed monthly or on a need basis on the SEA allegations </w:t>
            </w: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reported to PSEA Network.</w:t>
            </w:r>
          </w:p>
        </w:tc>
        <w:tc>
          <w:tcPr>
            <w:tcW w:w="1271" w:type="dxa"/>
            <w:shd w:val="clear" w:color="auto" w:fill="auto"/>
          </w:tcPr>
          <w:p w14:paraId="3CB13B90" w14:textId="5B3E172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Continuous</w:t>
            </w:r>
          </w:p>
        </w:tc>
        <w:tc>
          <w:tcPr>
            <w:tcW w:w="1275" w:type="dxa"/>
            <w:shd w:val="clear" w:color="auto" w:fill="auto"/>
          </w:tcPr>
          <w:p w14:paraId="736CE332" w14:textId="09725F55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  <w:p w14:paraId="7646C83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147CF6ED" w14:textId="2E9E8C0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APFs and PSE Coordinator</w:t>
            </w:r>
          </w:p>
        </w:tc>
      </w:tr>
      <w:tr w:rsidR="00105CF4" w:rsidRPr="005E56C5" w14:paraId="607C6426" w14:textId="77777777" w:rsidTr="7B05422E">
        <w:trPr>
          <w:trHeight w:val="278"/>
        </w:trPr>
        <w:tc>
          <w:tcPr>
            <w:tcW w:w="3114" w:type="dxa"/>
            <w:vMerge w:val="restart"/>
            <w:shd w:val="clear" w:color="auto" w:fill="auto"/>
          </w:tcPr>
          <w:p w14:paraId="6C9736D4" w14:textId="3354DA05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Output 4.3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When working with implementing partners, adequate safeguards are in place and action is taken related to sexual exploitation and abuse – e.g., screening, cooperative arrangements, monitoring, and termination of arrangements (</w:t>
            </w:r>
            <w:hyperlink r:id="rId13" w:history="1">
              <w:r w:rsidRPr="005E56C5">
                <w:rPr>
                  <w:rStyle w:val="Collegamentoipertestuale"/>
                  <w:rFonts w:asciiTheme="minorHAnsi" w:hAnsiTheme="minorHAnsi" w:cstheme="minorHAnsi"/>
                  <w:color w:val="auto"/>
                  <w:lang w:val="en-GB"/>
                </w:rPr>
                <w:t>United Nations Protocol on Allegations of Sexual Exploitation and Abuse Involving Implementing Partners</w:t>
              </w:r>
            </w:hyperlink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 xml:space="preserve">; </w:t>
            </w:r>
            <w:hyperlink r:id="rId14" w:history="1">
              <w:r w:rsidRPr="005E56C5">
                <w:rPr>
                  <w:rStyle w:val="Collegamentoipertestuale"/>
                  <w:rFonts w:asciiTheme="minorHAnsi" w:hAnsiTheme="minorHAnsi" w:cstheme="minorHAnsi"/>
                  <w:color w:val="auto"/>
                  <w:lang w:val="en-GB"/>
                </w:rPr>
                <w:t>ST/SGB/2003/13</w:t>
              </w:r>
            </w:hyperlink>
            <w:r w:rsidRPr="005E56C5">
              <w:rPr>
                <w:rFonts w:asciiTheme="minorHAnsi" w:hAnsiTheme="minorHAnsi" w:cstheme="minorHAnsi"/>
                <w:color w:val="auto"/>
                <w:lang w:val="en-GB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01F44F3" w14:textId="588AB332" w:rsidR="00105CF4" w:rsidRPr="005E56C5" w:rsidRDefault="00105CF4" w:rsidP="00105CF4">
            <w:pPr>
              <w:pStyle w:val="Paragrafoelenco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</w:t>
            </w:r>
            <w:r w:rsidR="008905FF">
              <w:rPr>
                <w:rFonts w:asciiTheme="minorHAnsi" w:hAnsiTheme="minorHAnsi" w:cstheme="minorHAnsi"/>
                <w:color w:val="auto"/>
              </w:rPr>
              <w:t xml:space="preserve"> member entities of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UNCT/HCT has policies on reference checking and vetting for former misconduct or supervision and performance appraisals related to </w:t>
            </w:r>
            <w:hyperlink r:id="rId15" w:history="1">
              <w:r w:rsidRPr="005E56C5">
                <w:rPr>
                  <w:rFonts w:asciiTheme="minorHAnsi" w:hAnsiTheme="minorHAnsi" w:cstheme="minorHAnsi"/>
                  <w:color w:val="auto"/>
                  <w:u w:val="single"/>
                </w:rPr>
                <w:t>UN Implementing Partner PSEA Capacity Assessment</w:t>
              </w:r>
            </w:hyperlink>
            <w:r w:rsidRPr="005E56C5">
              <w:rPr>
                <w:rFonts w:asciiTheme="minorHAnsi" w:hAnsiTheme="minorHAnsi" w:cstheme="minorHAnsi"/>
                <w:color w:val="auto"/>
              </w:rPr>
              <w:t xml:space="preserve"> and they are shared with UNCT/HCT.</w:t>
            </w:r>
          </w:p>
        </w:tc>
        <w:tc>
          <w:tcPr>
            <w:tcW w:w="3260" w:type="dxa"/>
            <w:shd w:val="clear" w:color="auto" w:fill="auto"/>
          </w:tcPr>
          <w:p w14:paraId="7F3F2E1B" w14:textId="58156CA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Job applicants and contractor personnel are screened for history of misconduct/SEA issues before recruitment </w:t>
            </w:r>
          </w:p>
          <w:p w14:paraId="4AA4E156" w14:textId="289D41C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Clear Check and/or </w:t>
            </w:r>
            <w:hyperlink r:id="rId16">
              <w:r w:rsidRPr="005E56C5">
                <w:rPr>
                  <w:rStyle w:val="Collegamentoipertestuale"/>
                  <w:rFonts w:asciiTheme="minorHAnsi" w:hAnsiTheme="minorHAnsi" w:cstheme="minorHAnsi"/>
                  <w:color w:val="auto"/>
                </w:rPr>
                <w:t>the Inter-Agency Misconduct Disclosure Scheme</w:t>
              </w:r>
            </w:hyperlink>
            <w:r w:rsidRPr="005E56C5">
              <w:rPr>
                <w:rFonts w:asciiTheme="minorHAnsi" w:hAnsiTheme="minorHAnsi" w:cstheme="minorHAnsi"/>
                <w:color w:val="auto"/>
              </w:rPr>
              <w:t xml:space="preserve"> are consulted, self-certified declarations of previous offences, allegations and disciplinary history are required.</w:t>
            </w:r>
          </w:p>
        </w:tc>
        <w:tc>
          <w:tcPr>
            <w:tcW w:w="1706" w:type="dxa"/>
            <w:shd w:val="clear" w:color="auto" w:fill="auto"/>
          </w:tcPr>
          <w:p w14:paraId="5F43C16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Human Resources of all PSEA Network member entities are routinely vetting  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applicants  for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past history of misconduct and SEA/SH misconduct allegations throughout the selection processes.  </w:t>
            </w:r>
          </w:p>
          <w:p w14:paraId="5F377FC7" w14:textId="7509D1F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4C7C7EC" w14:textId="1E6E216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Information sessions for HR Staff on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ClearCheck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 and MDS are organized</w:t>
            </w:r>
          </w:p>
          <w:p w14:paraId="32658FE3" w14:textId="44BBD5E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  <w:shd w:val="clear" w:color="auto" w:fill="auto"/>
          </w:tcPr>
          <w:p w14:paraId="63C7958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Continuos</w:t>
            </w:r>
            <w:proofErr w:type="spellEnd"/>
          </w:p>
          <w:p w14:paraId="4B22358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EF83E5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3849FE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76495D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4555B1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4C44476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F7A496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C8E6291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D60A29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5A7A47C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3F469E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4E0C7F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3AE68B4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08B789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3FB496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August 2022</w:t>
            </w:r>
          </w:p>
          <w:p w14:paraId="7D4DD20D" w14:textId="08B996E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December 2022</w:t>
            </w:r>
          </w:p>
        </w:tc>
        <w:tc>
          <w:tcPr>
            <w:tcW w:w="1275" w:type="dxa"/>
            <w:shd w:val="clear" w:color="auto" w:fill="auto"/>
          </w:tcPr>
          <w:p w14:paraId="2D802DB7" w14:textId="03BFF03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  <w:shd w:val="clear" w:color="auto" w:fill="auto"/>
          </w:tcPr>
          <w:p w14:paraId="756C8DA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APFs</w:t>
            </w:r>
          </w:p>
          <w:p w14:paraId="47A93E9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906D2C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D961B7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97CFDEE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06F044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745B1F1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6A73C8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CD477FC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A1401A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8377C9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4329EF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B6430C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15A7D34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0FCCBA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9669C06" w14:textId="43ABCD83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</w:t>
            </w:r>
          </w:p>
        </w:tc>
      </w:tr>
      <w:tr w:rsidR="00105CF4" w:rsidRPr="005E56C5" w14:paraId="1F780E42" w14:textId="77777777" w:rsidTr="7B05422E">
        <w:trPr>
          <w:trHeight w:val="951"/>
        </w:trPr>
        <w:tc>
          <w:tcPr>
            <w:tcW w:w="3114" w:type="dxa"/>
            <w:vMerge/>
          </w:tcPr>
          <w:p w14:paraId="64323B85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76223CC6" w14:textId="662B039A" w:rsidR="00105CF4" w:rsidRPr="005E56C5" w:rsidRDefault="00000000" w:rsidP="00105CF4">
            <w:pPr>
              <w:pStyle w:val="Paragrafoelenco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hyperlink r:id="rId17" w:history="1">
              <w:r w:rsidR="00105CF4" w:rsidRPr="005E56C5">
                <w:rPr>
                  <w:rFonts w:asciiTheme="minorHAnsi" w:hAnsiTheme="minorHAnsi" w:cstheme="minorHAnsi"/>
                  <w:color w:val="auto"/>
                  <w:u w:val="single"/>
                </w:rPr>
                <w:t>UN Implementing Partner PSEA Capacity Assessment</w:t>
              </w:r>
            </w:hyperlink>
            <w:r w:rsidR="00105CF4" w:rsidRPr="005E56C5">
              <w:rPr>
                <w:rFonts w:asciiTheme="minorHAnsi" w:hAnsiTheme="minorHAnsi" w:cstheme="minorHAnsi"/>
                <w:color w:val="auto"/>
              </w:rPr>
              <w:t xml:space="preserve"> guidelines are implemented.</w:t>
            </w:r>
          </w:p>
        </w:tc>
        <w:tc>
          <w:tcPr>
            <w:tcW w:w="3260" w:type="dxa"/>
            <w:shd w:val="clear" w:color="auto" w:fill="auto"/>
          </w:tcPr>
          <w:p w14:paraId="1A826182" w14:textId="2864B08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Implementing partners assessment</w:t>
            </w:r>
            <w:r w:rsidR="00C20118">
              <w:rPr>
                <w:rFonts w:asciiTheme="minorHAnsi" w:hAnsiTheme="minorHAnsi" w:cstheme="minorHAnsi"/>
                <w:color w:val="auto"/>
              </w:rPr>
              <w:t>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are centralized at </w:t>
            </w:r>
            <w:r w:rsidR="00C20118">
              <w:rPr>
                <w:rFonts w:asciiTheme="minorHAnsi" w:hAnsiTheme="minorHAnsi" w:cstheme="minorHAnsi"/>
                <w:color w:val="auto"/>
              </w:rPr>
              <w:t xml:space="preserve">a </w:t>
            </w:r>
            <w:r w:rsidRPr="005E56C5">
              <w:rPr>
                <w:rFonts w:asciiTheme="minorHAnsi" w:hAnsiTheme="minorHAnsi" w:cstheme="minorHAnsi"/>
                <w:color w:val="auto"/>
              </w:rPr>
              <w:t>country level and shared with other members of the UNCT/HCT.</w:t>
            </w:r>
          </w:p>
        </w:tc>
        <w:tc>
          <w:tcPr>
            <w:tcW w:w="1706" w:type="dxa"/>
            <w:shd w:val="clear" w:color="auto" w:fill="auto"/>
          </w:tcPr>
          <w:p w14:paraId="16E36928" w14:textId="750706E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assessments of the implementing partners is conducted  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and  shared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with the other members of  </w:t>
            </w: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UNCT/HCT on a need basis.</w:t>
            </w:r>
          </w:p>
        </w:tc>
        <w:tc>
          <w:tcPr>
            <w:tcW w:w="1271" w:type="dxa"/>
            <w:shd w:val="clear" w:color="auto" w:fill="auto"/>
          </w:tcPr>
          <w:p w14:paraId="2D45EE76" w14:textId="78CEA3F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September 2022</w:t>
            </w:r>
          </w:p>
        </w:tc>
        <w:tc>
          <w:tcPr>
            <w:tcW w:w="1275" w:type="dxa"/>
            <w:shd w:val="clear" w:color="auto" w:fill="auto"/>
          </w:tcPr>
          <w:p w14:paraId="6ED9F0EB" w14:textId="756F012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  <w:shd w:val="clear" w:color="auto" w:fill="auto"/>
          </w:tcPr>
          <w:p w14:paraId="579E1373" w14:textId="55F9F76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UNICEF /</w:t>
            </w:r>
          </w:p>
          <w:p w14:paraId="39FC4F39" w14:textId="02035C5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OCHA  </w:t>
            </w:r>
          </w:p>
        </w:tc>
      </w:tr>
      <w:tr w:rsidR="00105CF4" w:rsidRPr="005E56C5" w14:paraId="23CD5A2D" w14:textId="77777777" w:rsidTr="7B05422E">
        <w:trPr>
          <w:trHeight w:val="1017"/>
        </w:trPr>
        <w:tc>
          <w:tcPr>
            <w:tcW w:w="3114" w:type="dxa"/>
            <w:vMerge/>
          </w:tcPr>
          <w:p w14:paraId="754F58D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00110602" w14:textId="6090CBC8" w:rsidR="00105CF4" w:rsidRPr="005E56C5" w:rsidDel="00AA464A" w:rsidRDefault="00105CF4" w:rsidP="00105CF4">
            <w:pPr>
              <w:pStyle w:val="Paragrafoelenco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Follow-up is established for the implementing partners that do not meet the minimum threshold.</w:t>
            </w:r>
          </w:p>
        </w:tc>
        <w:tc>
          <w:tcPr>
            <w:tcW w:w="3260" w:type="dxa"/>
            <w:shd w:val="clear" w:color="auto" w:fill="auto"/>
          </w:tcPr>
          <w:p w14:paraId="2820279C" w14:textId="7D438369" w:rsidR="00105CF4" w:rsidRPr="005E56C5" w:rsidDel="00AA464A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Actions in line with the implementing partners protocol are taken against those implementing partners that do not meet the required standards.</w:t>
            </w:r>
          </w:p>
        </w:tc>
        <w:tc>
          <w:tcPr>
            <w:tcW w:w="1706" w:type="dxa"/>
            <w:shd w:val="clear" w:color="auto" w:fill="auto"/>
          </w:tcPr>
          <w:p w14:paraId="749C5DF1" w14:textId="2AE964D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The capacity building for implementing partners (IPs) is considered where IPs have a weak capacity to prevent/ mitigate risks of SEA.</w:t>
            </w:r>
          </w:p>
        </w:tc>
        <w:tc>
          <w:tcPr>
            <w:tcW w:w="1271" w:type="dxa"/>
            <w:shd w:val="clear" w:color="auto" w:fill="auto"/>
          </w:tcPr>
          <w:p w14:paraId="2DCCDEF6" w14:textId="5E761D9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 xml:space="preserve">December 2022 </w:t>
            </w:r>
          </w:p>
        </w:tc>
        <w:tc>
          <w:tcPr>
            <w:tcW w:w="1275" w:type="dxa"/>
            <w:shd w:val="clear" w:color="auto" w:fill="auto"/>
          </w:tcPr>
          <w:p w14:paraId="27925950" w14:textId="52DE189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347912A7" w14:textId="3F3992F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APFs and implementing partners</w:t>
            </w:r>
          </w:p>
        </w:tc>
      </w:tr>
      <w:tr w:rsidR="00105CF4" w:rsidRPr="005E56C5" w14:paraId="20372AD5" w14:textId="77777777" w:rsidTr="7B05422E">
        <w:trPr>
          <w:trHeight w:val="1017"/>
        </w:trPr>
        <w:tc>
          <w:tcPr>
            <w:tcW w:w="3114" w:type="dxa"/>
          </w:tcPr>
          <w:p w14:paraId="7D77B5D1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748717EC" w14:textId="51D585A2" w:rsidR="00105CF4" w:rsidRPr="005E56C5" w:rsidRDefault="00105CF4" w:rsidP="00105CF4">
            <w:pPr>
              <w:pStyle w:val="Paragrafoelenco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Ind</w:t>
            </w:r>
            <w:r w:rsidR="00C20118">
              <w:rPr>
                <w:rFonts w:asciiTheme="minorHAnsi" w:hAnsiTheme="minorHAnsi" w:cstheme="minorHAnsi"/>
                <w:color w:val="auto"/>
              </w:rPr>
              <w:t>e</w:t>
            </w:r>
            <w:r w:rsidRPr="005E56C5">
              <w:rPr>
                <w:rFonts w:asciiTheme="minorHAnsi" w:hAnsiTheme="minorHAnsi" w:cstheme="minorHAnsi"/>
                <w:color w:val="auto"/>
              </w:rPr>
              <w:t>pendent investigation capacities are developed</w:t>
            </w:r>
          </w:p>
        </w:tc>
        <w:tc>
          <w:tcPr>
            <w:tcW w:w="3260" w:type="dxa"/>
            <w:shd w:val="clear" w:color="auto" w:fill="auto"/>
          </w:tcPr>
          <w:p w14:paraId="7DADA274" w14:textId="6F40BF0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 pool of independent investigators is created,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trained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and will serve upon request of partners not having internal investigation capacities</w:t>
            </w:r>
          </w:p>
        </w:tc>
        <w:tc>
          <w:tcPr>
            <w:tcW w:w="1706" w:type="dxa"/>
            <w:shd w:val="clear" w:color="auto" w:fill="auto"/>
          </w:tcPr>
          <w:p w14:paraId="02CE2644" w14:textId="0774757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Professional Profiles for pool of </w:t>
            </w:r>
            <w:proofErr w:type="gramStart"/>
            <w:r w:rsidR="00C20118">
              <w:rPr>
                <w:rFonts w:asciiTheme="minorHAnsi" w:hAnsiTheme="minorHAnsi" w:cstheme="minorHAnsi"/>
                <w:color w:val="auto"/>
              </w:rPr>
              <w:t>Independent</w:t>
            </w:r>
            <w:proofErr w:type="gramEnd"/>
            <w:r w:rsidR="00C20118"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E56C5">
              <w:rPr>
                <w:rFonts w:asciiTheme="minorHAnsi" w:hAnsiTheme="minorHAnsi" w:cstheme="minorHAnsi"/>
                <w:color w:val="auto"/>
              </w:rPr>
              <w:t>investigators are identified.</w:t>
            </w:r>
          </w:p>
          <w:p w14:paraId="1734EB40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93E47BC" w14:textId="142B0E23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participants to the pool are trained to PSEA Investigation (level 1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nd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2 )</w:t>
            </w:r>
            <w:proofErr w:type="gramEnd"/>
          </w:p>
        </w:tc>
        <w:tc>
          <w:tcPr>
            <w:tcW w:w="1271" w:type="dxa"/>
            <w:shd w:val="clear" w:color="auto" w:fill="auto"/>
          </w:tcPr>
          <w:p w14:paraId="2F55072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March 2023</w:t>
            </w:r>
          </w:p>
          <w:p w14:paraId="0D631ED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D59DCA5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2DC2A7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DA4DEF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6ECE11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FAA558E" w14:textId="1367138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June 2023</w:t>
            </w:r>
          </w:p>
          <w:p w14:paraId="3552BA0F" w14:textId="496480B4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41B8A53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63A73207" w14:textId="263BE59F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PSEA Coordinator and Network RMU, Human Rights </w:t>
            </w:r>
          </w:p>
        </w:tc>
      </w:tr>
      <w:tr w:rsidR="00105CF4" w:rsidRPr="005E56C5" w14:paraId="1E87938F" w14:textId="58183616" w:rsidTr="7B05422E">
        <w:trPr>
          <w:trHeight w:val="233"/>
        </w:trPr>
        <w:tc>
          <w:tcPr>
            <w:tcW w:w="15588" w:type="dxa"/>
            <w:gridSpan w:val="7"/>
            <w:shd w:val="clear" w:color="auto" w:fill="8DB3E2" w:themeFill="text2" w:themeFillTint="66"/>
          </w:tcPr>
          <w:p w14:paraId="33DFD06C" w14:textId="03190CD3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Part C: PSEA Country-Level Structure</w:t>
            </w:r>
          </w:p>
        </w:tc>
      </w:tr>
      <w:tr w:rsidR="00105CF4" w:rsidRPr="005E56C5" w14:paraId="56EAB6DA" w14:textId="2C4B7E53" w:rsidTr="7B05422E">
        <w:trPr>
          <w:trHeight w:val="233"/>
        </w:trPr>
        <w:tc>
          <w:tcPr>
            <w:tcW w:w="15588" w:type="dxa"/>
            <w:gridSpan w:val="7"/>
            <w:shd w:val="clear" w:color="auto" w:fill="D9D9D9" w:themeFill="background1" w:themeFillShade="D9"/>
          </w:tcPr>
          <w:p w14:paraId="673A0DBE" w14:textId="4950B79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 xml:space="preserve">Outcome 5. PSEA inter-agency country-level structure. 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The Resident/Humanitarian Coordinator and UNCT/HCT are supported at senior management and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technical-levels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to lead, oversee, and deliver on the above four PSEA Outcomes.</w:t>
            </w:r>
          </w:p>
        </w:tc>
      </w:tr>
      <w:tr w:rsidR="00105CF4" w:rsidRPr="005E56C5" w14:paraId="1CDFC997" w14:textId="77777777" w:rsidTr="7B05422E">
        <w:trPr>
          <w:trHeight w:val="600"/>
        </w:trPr>
        <w:tc>
          <w:tcPr>
            <w:tcW w:w="3114" w:type="dxa"/>
          </w:tcPr>
          <w:p w14:paraId="4F0442CE" w14:textId="20C95AB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color w:val="auto"/>
              </w:rPr>
              <w:t>Output 5.</w:t>
            </w: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F68B4">
              <w:rPr>
                <w:rFonts w:asciiTheme="minorHAnsi" w:hAnsiTheme="minorHAnsi" w:cstheme="minorHAnsi"/>
                <w:color w:val="auto"/>
              </w:rPr>
              <w:t xml:space="preserve">The PSEA Architecture is clearly articulated and known by </w:t>
            </w:r>
            <w:r w:rsidR="005D62EF">
              <w:rPr>
                <w:rFonts w:asciiTheme="minorHAnsi" w:hAnsiTheme="minorHAnsi" w:cstheme="minorHAnsi"/>
                <w:color w:val="auto"/>
              </w:rPr>
              <w:t xml:space="preserve">Somalia </w:t>
            </w:r>
            <w:r w:rsidR="00CF68B4">
              <w:rPr>
                <w:rFonts w:asciiTheme="minorHAnsi" w:hAnsiTheme="minorHAnsi" w:cstheme="minorHAnsi"/>
                <w:color w:val="auto"/>
              </w:rPr>
              <w:t xml:space="preserve">aid community.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The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role of the RC/HC as PSEA lead is clear to all PSEA stakeholders.</w:t>
            </w:r>
          </w:p>
        </w:tc>
        <w:tc>
          <w:tcPr>
            <w:tcW w:w="3544" w:type="dxa"/>
          </w:tcPr>
          <w:p w14:paraId="7183C5A1" w14:textId="1E4DD123" w:rsidR="00105CF4" w:rsidRPr="005E56C5" w:rsidRDefault="00105CF4" w:rsidP="00105CF4">
            <w:pPr>
              <w:pStyle w:val="Paragrafoelenco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RC/HC takes an active lead on PSEA and, where relevant, coordinates with the (D)SRSG.</w:t>
            </w:r>
          </w:p>
        </w:tc>
        <w:tc>
          <w:tcPr>
            <w:tcW w:w="3260" w:type="dxa"/>
          </w:tcPr>
          <w:p w14:paraId="6741A7CC" w14:textId="56AAB666" w:rsidR="00105CF4" w:rsidRPr="005E56C5" w:rsidRDefault="00105CF4" w:rsidP="00105CF4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DSRSG/RC/HC supports implementation and monitoring on Somalia PSEA Action Plan, making explicit the leadership role of the RC/HC and UNCT/HCT.</w:t>
            </w:r>
          </w:p>
        </w:tc>
        <w:tc>
          <w:tcPr>
            <w:tcW w:w="1706" w:type="dxa"/>
          </w:tcPr>
          <w:p w14:paraId="544D60CB" w14:textId="17BA1FD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DSRSG/ RC/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HC  is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playing  the leadership role in supporting the monitoring and  the  </w:t>
            </w: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implementation of the PSEA Action Plan, in ensuring compliance of all UNCT/HCT members to global PSEA standards and procedures. Bridges and collaborations are established between APFs and UNSOM</w:t>
            </w:r>
            <w:r w:rsidR="006F1CA6">
              <w:rPr>
                <w:rFonts w:asciiTheme="minorHAnsi" w:hAnsiTheme="minorHAnsi" w:cstheme="minorHAnsi"/>
                <w:color w:val="auto"/>
              </w:rPr>
              <w:t xml:space="preserve"> and ATMIS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at leadership and technical level (PSEA Network-CDT)</w:t>
            </w:r>
          </w:p>
          <w:p w14:paraId="5CCF361E" w14:textId="0FC38E0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1" w:type="dxa"/>
          </w:tcPr>
          <w:p w14:paraId="145C0427" w14:textId="604229E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lastRenderedPageBreak/>
              <w:t>Ongoing</w:t>
            </w:r>
          </w:p>
        </w:tc>
        <w:tc>
          <w:tcPr>
            <w:tcW w:w="1275" w:type="dxa"/>
          </w:tcPr>
          <w:p w14:paraId="29180B2F" w14:textId="2C87EBF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1A71DAB3" w14:textId="016A375D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DSRSG/RC/HC</w:t>
            </w:r>
          </w:p>
        </w:tc>
      </w:tr>
      <w:tr w:rsidR="00105CF4" w:rsidRPr="005E56C5" w14:paraId="06F120E1" w14:textId="392E18D3" w:rsidTr="7B05422E">
        <w:trPr>
          <w:trHeight w:val="600"/>
        </w:trPr>
        <w:tc>
          <w:tcPr>
            <w:tcW w:w="3114" w:type="dxa"/>
          </w:tcPr>
          <w:p w14:paraId="7528A0B1" w14:textId="4B7D973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Output 5.2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Members take on the PSEA role to support the Resident/Humanitarian Coordinator to deliver on PSEA at the UNCT/HCT level and the PSEA Network at the technical level. </w:t>
            </w:r>
          </w:p>
        </w:tc>
        <w:tc>
          <w:tcPr>
            <w:tcW w:w="3544" w:type="dxa"/>
          </w:tcPr>
          <w:p w14:paraId="32A99772" w14:textId="3F88CBA6" w:rsidR="00105CF4" w:rsidRPr="005E56C5" w:rsidRDefault="00105CF4" w:rsidP="00105CF4">
            <w:pPr>
              <w:pStyle w:val="Paragrafoelenco"/>
              <w:numPr>
                <w:ilvl w:val="0"/>
                <w:numId w:val="14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Status of the designation of agency chairs for the PSEA Steering Committee (principal level, UNCT/HCT) and the PSEA Network (technical level).</w:t>
            </w:r>
          </w:p>
        </w:tc>
        <w:tc>
          <w:tcPr>
            <w:tcW w:w="3260" w:type="dxa"/>
          </w:tcPr>
          <w:p w14:paraId="0DACB6A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Appointment of PSEA Steering Committee Members</w:t>
            </w:r>
          </w:p>
          <w:p w14:paraId="49091B81" w14:textId="025CE602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0F085F6" w14:textId="665000C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63B2EBC" w14:textId="477CA49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3C3C4F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6363DAD" w14:textId="25DBF544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Renewal of PSEA Network Co-Chairs</w:t>
            </w:r>
          </w:p>
        </w:tc>
        <w:tc>
          <w:tcPr>
            <w:tcW w:w="1706" w:type="dxa"/>
          </w:tcPr>
          <w:p w14:paraId="403A8FFE" w14:textId="79CC3EF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UNCT/HCT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have  appointed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the PSEA Steering Committee Members</w:t>
            </w:r>
          </w:p>
          <w:p w14:paraId="3A4AD030" w14:textId="7EFD6BCA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64C1C2B" w14:textId="3114692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PSEA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Network  have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appointed 3 co-chairs (1 from UN 1 from NGO 1 from the CDT</w:t>
            </w:r>
          </w:p>
          <w:p w14:paraId="59BF1701" w14:textId="1529A16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F23AEAE" w14:textId="5A4A087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TORs finalized and endorsed by the HCT/UNCT</w:t>
            </w:r>
          </w:p>
        </w:tc>
        <w:tc>
          <w:tcPr>
            <w:tcW w:w="1271" w:type="dxa"/>
          </w:tcPr>
          <w:p w14:paraId="437785EC" w14:textId="7713031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December 2022</w:t>
            </w:r>
          </w:p>
          <w:p w14:paraId="2F696D5B" w14:textId="7A950F4D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378F59B" w14:textId="1273263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68E86FD" w14:textId="04DD84C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13BC393" w14:textId="2CCAACD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65607DA" w14:textId="7BB7892D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December 2022</w:t>
            </w:r>
          </w:p>
          <w:p w14:paraId="7C05CAD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31E21A0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BFB272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A258380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B7850DD" w14:textId="614FB878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December 2022</w:t>
            </w:r>
          </w:p>
        </w:tc>
        <w:tc>
          <w:tcPr>
            <w:tcW w:w="1275" w:type="dxa"/>
          </w:tcPr>
          <w:p w14:paraId="75B65E3E" w14:textId="6D31ED25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Internal resources</w:t>
            </w:r>
          </w:p>
        </w:tc>
        <w:tc>
          <w:tcPr>
            <w:tcW w:w="1418" w:type="dxa"/>
          </w:tcPr>
          <w:p w14:paraId="3A0966A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UNCT/HCT </w:t>
            </w:r>
          </w:p>
          <w:p w14:paraId="400ECA6C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2A1D334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5695E0D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C7E406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4F3AEC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DA4E6F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Network</w:t>
            </w:r>
          </w:p>
          <w:p w14:paraId="685668B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C8E54EB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CF14676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8A31DF8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38CF903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D58B30E" w14:textId="7DAD2FF6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lastRenderedPageBreak/>
              <w:t>PSEA Coordinator and Network</w:t>
            </w:r>
          </w:p>
          <w:p w14:paraId="5AFCAEC7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FC98EF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87B3896" w14:textId="2AC9EE59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05CF4" w:rsidRPr="005E56C5" w14:paraId="0F777399" w14:textId="728373F5" w:rsidTr="7B05422E">
        <w:trPr>
          <w:trHeight w:val="233"/>
        </w:trPr>
        <w:tc>
          <w:tcPr>
            <w:tcW w:w="3114" w:type="dxa"/>
            <w:vMerge w:val="restart"/>
          </w:tcPr>
          <w:p w14:paraId="5DB43197" w14:textId="5B59915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Output 5.3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 full-time PSEA Coordinator (with medium to long-term secured funding) is in place, with a direct reporting line to the HC/RC, to provide day-to-day technical support and expertise to the inter-agency PSEA Network. In the absence of a Senior Victims Rights Officer (SVRO) or Field Victims’ Rights Advocate (FVRA), consider the designation of a </w:t>
            </w:r>
            <w:bookmarkStart w:id="2" w:name="_Hlk73453869"/>
            <w:r w:rsidRPr="005E56C5">
              <w:rPr>
                <w:rFonts w:asciiTheme="minorHAnsi" w:hAnsiTheme="minorHAnsi" w:cstheme="minorHAnsi"/>
                <w:color w:val="auto"/>
              </w:rPr>
              <w:t>focal point for victims’ rights</w:t>
            </w:r>
            <w:bookmarkEnd w:id="2"/>
            <w:r w:rsidRPr="005E56C5">
              <w:rPr>
                <w:rStyle w:val="Rimandonotaapidipagina"/>
                <w:rFonts w:asciiTheme="minorHAnsi" w:hAnsiTheme="minorHAnsi" w:cstheme="minorHAnsi"/>
                <w:color w:val="auto"/>
              </w:rPr>
              <w:footnoteReference w:id="12"/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at the country level by the PSEA Network in consultation with the most senior United Nations official in the country.</w:t>
            </w:r>
          </w:p>
        </w:tc>
        <w:tc>
          <w:tcPr>
            <w:tcW w:w="3544" w:type="dxa"/>
          </w:tcPr>
          <w:p w14:paraId="64DF5DA6" w14:textId="3446DB50" w:rsidR="00105CF4" w:rsidRPr="005E56C5" w:rsidRDefault="00105CF4" w:rsidP="00105CF4">
            <w:pPr>
              <w:pStyle w:val="Paragrafoelenco"/>
              <w:numPr>
                <w:ilvl w:val="0"/>
                <w:numId w:val="4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Status of deployment of a full-time PSEA Network Coordinator (with clear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ToRs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>).</w:t>
            </w:r>
          </w:p>
        </w:tc>
        <w:tc>
          <w:tcPr>
            <w:tcW w:w="3260" w:type="dxa"/>
          </w:tcPr>
          <w:p w14:paraId="275C837B" w14:textId="074AE94E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P4/P5 level full-time PSEA Coordinator is in place </w:t>
            </w:r>
          </w:p>
          <w:p w14:paraId="0FCE5774" w14:textId="7B82951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 reports directly to the RC/HC.</w:t>
            </w:r>
          </w:p>
        </w:tc>
        <w:tc>
          <w:tcPr>
            <w:tcW w:w="1706" w:type="dxa"/>
          </w:tcPr>
          <w:p w14:paraId="68188371" w14:textId="2450E63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  <w:r w:rsidRPr="005E56C5">
              <w:rPr>
                <w:rFonts w:asciiTheme="minorHAnsi" w:hAnsiTheme="minorHAnsi" w:cstheme="minorHAnsi"/>
                <w:iCs/>
                <w:color w:val="auto"/>
              </w:rPr>
              <w:t>A full-time PSEA Coordinator is in place</w:t>
            </w:r>
          </w:p>
        </w:tc>
        <w:tc>
          <w:tcPr>
            <w:tcW w:w="1271" w:type="dxa"/>
          </w:tcPr>
          <w:p w14:paraId="1A6EBFEC" w14:textId="7CA7A194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1275" w:type="dxa"/>
          </w:tcPr>
          <w:p w14:paraId="02A78AE3" w14:textId="3F2196B5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1418" w:type="dxa"/>
          </w:tcPr>
          <w:p w14:paraId="3804736B" w14:textId="170A5690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05CF4" w:rsidRPr="005E56C5" w14:paraId="561ED504" w14:textId="77777777" w:rsidTr="7B05422E">
        <w:trPr>
          <w:trHeight w:val="1636"/>
        </w:trPr>
        <w:tc>
          <w:tcPr>
            <w:tcW w:w="3114" w:type="dxa"/>
            <w:vMerge/>
          </w:tcPr>
          <w:p w14:paraId="1E12F18A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57C8EE62" w14:textId="12E2E692" w:rsidR="00105CF4" w:rsidRPr="005E56C5" w:rsidRDefault="00105CF4" w:rsidP="00105CF4">
            <w:pPr>
              <w:pStyle w:val="Paragrafoelenco"/>
              <w:numPr>
                <w:ilvl w:val="0"/>
                <w:numId w:val="4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PSEA Coordinator takes an active lead in supporting senior leadership in developing and implementing PSEA Network TORs and a PSEA Work Plan, based upon the inter-agency PSEA Network risk assessment</w:t>
            </w: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26E08BB" w14:textId="4CFE1491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A SVRO/FVRA or a focal point for victims’ rights has been appointed at the country level in the Office of the HC/RC.</w:t>
            </w:r>
          </w:p>
        </w:tc>
        <w:tc>
          <w:tcPr>
            <w:tcW w:w="1706" w:type="dxa"/>
          </w:tcPr>
          <w:p w14:paraId="2890C263" w14:textId="77777777" w:rsidR="005315C3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The  full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-time PSEA Coordinator is in place and is acting as VRA. </w:t>
            </w:r>
          </w:p>
          <w:p w14:paraId="02F4DC1B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251D3AF" w14:textId="547E0E3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TORs are revised accordingly</w:t>
            </w:r>
          </w:p>
        </w:tc>
        <w:tc>
          <w:tcPr>
            <w:tcW w:w="1271" w:type="dxa"/>
          </w:tcPr>
          <w:p w14:paraId="2AD4AE71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83425C0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16EEA6C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4666A2E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93C7F9D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832D409" w14:textId="780454F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September 2022</w:t>
            </w:r>
          </w:p>
        </w:tc>
        <w:tc>
          <w:tcPr>
            <w:tcW w:w="1275" w:type="dxa"/>
          </w:tcPr>
          <w:p w14:paraId="50FD59F3" w14:textId="10978D8C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1312ABF5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A5C9259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A9210C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062FB1F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15FB532" w14:textId="77777777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270A2B6" w14:textId="46CABA8B" w:rsidR="00105CF4" w:rsidRPr="005E56C5" w:rsidRDefault="00105CF4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Coordinator/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NorCap</w:t>
            </w:r>
            <w:proofErr w:type="spellEnd"/>
          </w:p>
        </w:tc>
      </w:tr>
      <w:tr w:rsidR="005315C3" w:rsidRPr="005E56C5" w14:paraId="22730BA6" w14:textId="77777777" w:rsidTr="0062690F">
        <w:trPr>
          <w:trHeight w:val="882"/>
        </w:trPr>
        <w:tc>
          <w:tcPr>
            <w:tcW w:w="3114" w:type="dxa"/>
            <w:vMerge/>
          </w:tcPr>
          <w:p w14:paraId="3DC72F0E" w14:textId="7777777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1D64F60B" w14:textId="34540179" w:rsidR="005315C3" w:rsidRPr="005E56C5" w:rsidRDefault="005315C3" w:rsidP="00105CF4">
            <w:pPr>
              <w:pStyle w:val="Paragrafoelenco"/>
              <w:numPr>
                <w:ilvl w:val="0"/>
                <w:numId w:val="4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Network being established or in place.</w:t>
            </w:r>
          </w:p>
        </w:tc>
        <w:tc>
          <w:tcPr>
            <w:tcW w:w="3260" w:type="dxa"/>
          </w:tcPr>
          <w:p w14:paraId="15C93E0D" w14:textId="77777777" w:rsidR="005315C3" w:rsidRPr="005E56C5" w:rsidRDefault="005315C3" w:rsidP="00105CF4">
            <w:pPr>
              <w:spacing w:after="120"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PSEA Network is established and reports regularly to RC/HC via the PSEA Coordinator. </w:t>
            </w:r>
          </w:p>
          <w:p w14:paraId="453FC230" w14:textId="645E29F3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Network includes all UNCT/HCT members, including representation from international and national NGOs and donors.</w:t>
            </w:r>
          </w:p>
        </w:tc>
        <w:tc>
          <w:tcPr>
            <w:tcW w:w="1706" w:type="dxa"/>
          </w:tcPr>
          <w:p w14:paraId="1E3CADD5" w14:textId="0B8E7314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The PSEA network composed of focal points from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AFPs,  UNSOM</w:t>
            </w:r>
            <w:proofErr w:type="gramEnd"/>
            <w:r w:rsidR="00E62956">
              <w:rPr>
                <w:rFonts w:asciiTheme="minorHAnsi" w:hAnsiTheme="minorHAnsi" w:cstheme="minorHAnsi"/>
                <w:color w:val="auto"/>
              </w:rPr>
              <w:t>, UNSOS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and international and national</w:t>
            </w:r>
            <w:r w:rsidR="006F1CA6">
              <w:rPr>
                <w:rFonts w:asciiTheme="minorHAnsi" w:hAnsiTheme="minorHAnsi" w:cstheme="minorHAnsi"/>
                <w:color w:val="auto"/>
              </w:rPr>
              <w:t xml:space="preserve"> NGOs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is meeting monthly, </w:t>
            </w:r>
          </w:p>
          <w:p w14:paraId="39671960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3A097C23" w14:textId="18E58D36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A PSEA Monthly report is shared with the RC/HC. </w:t>
            </w:r>
          </w:p>
        </w:tc>
        <w:tc>
          <w:tcPr>
            <w:tcW w:w="1271" w:type="dxa"/>
          </w:tcPr>
          <w:p w14:paraId="51C1F4AA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Monthly</w:t>
            </w:r>
          </w:p>
          <w:p w14:paraId="19833B17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5B31A75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EAF861A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43FD956D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0508D65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FE43AF4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A4397E3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747CB97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18EC163F" w14:textId="718A0EB2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Monthly</w:t>
            </w:r>
          </w:p>
        </w:tc>
        <w:tc>
          <w:tcPr>
            <w:tcW w:w="1275" w:type="dxa"/>
          </w:tcPr>
          <w:p w14:paraId="341E25F6" w14:textId="4DA38A83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5F8CF3CF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Coordinator, PSEA Network</w:t>
            </w:r>
          </w:p>
          <w:p w14:paraId="64460476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6600560D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6884E91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29330A71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5D6D86C6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7F3D6513" w14:textId="77777777" w:rsidR="005315C3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  <w:p w14:paraId="03A31541" w14:textId="7B28E2BA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PSEA Coordinator</w:t>
            </w:r>
          </w:p>
        </w:tc>
      </w:tr>
      <w:tr w:rsidR="005315C3" w:rsidRPr="005E56C5" w14:paraId="5E7D78C1" w14:textId="77777777" w:rsidTr="7B05422E">
        <w:trPr>
          <w:trHeight w:val="465"/>
        </w:trPr>
        <w:tc>
          <w:tcPr>
            <w:tcW w:w="3114" w:type="dxa"/>
            <w:vMerge w:val="restart"/>
          </w:tcPr>
          <w:p w14:paraId="6A104556" w14:textId="59BF137B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Output 5.4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An inter-agency PSEA Network is in place with the resources and expertise necessary to deliver on PSEA outcomes (above).</w:t>
            </w:r>
          </w:p>
        </w:tc>
        <w:tc>
          <w:tcPr>
            <w:tcW w:w="3544" w:type="dxa"/>
          </w:tcPr>
          <w:p w14:paraId="0D40ED7B" w14:textId="41A9D92D" w:rsidR="005315C3" w:rsidRPr="005E56C5" w:rsidRDefault="005315C3" w:rsidP="00105CF4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Integration of PSEA in the Humanitarian Response Plan</w:t>
            </w:r>
          </w:p>
        </w:tc>
        <w:tc>
          <w:tcPr>
            <w:tcW w:w="3260" w:type="dxa"/>
          </w:tcPr>
          <w:p w14:paraId="0EE3371E" w14:textId="326A8A6F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PSEA Action Plan is partially costed and resourced through HRP and Response Plan.</w:t>
            </w:r>
          </w:p>
        </w:tc>
        <w:tc>
          <w:tcPr>
            <w:tcW w:w="1706" w:type="dxa"/>
          </w:tcPr>
          <w:p w14:paraId="3DC62C8D" w14:textId="09C7B6C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Dedicated PSEA resources are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included  under</w:t>
            </w:r>
            <w:proofErr w:type="gramEnd"/>
            <w:r w:rsidRPr="005E56C5">
              <w:rPr>
                <w:rFonts w:asciiTheme="minorHAnsi" w:hAnsiTheme="minorHAnsi" w:cstheme="minorHAnsi"/>
                <w:color w:val="auto"/>
              </w:rPr>
              <w:t xml:space="preserve"> HRP 2023  and Response Plan</w:t>
            </w:r>
          </w:p>
        </w:tc>
        <w:tc>
          <w:tcPr>
            <w:tcW w:w="1271" w:type="dxa"/>
          </w:tcPr>
          <w:p w14:paraId="76A7EEF7" w14:textId="31E5957B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December 2022</w:t>
            </w:r>
          </w:p>
        </w:tc>
        <w:tc>
          <w:tcPr>
            <w:tcW w:w="1275" w:type="dxa"/>
          </w:tcPr>
          <w:p w14:paraId="23878074" w14:textId="4FA469AC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2057AC66" w14:textId="755A28DD" w:rsidR="005315C3" w:rsidRPr="005E56C5" w:rsidRDefault="005315C3" w:rsidP="00105CF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PSEA </w:t>
            </w:r>
            <w:proofErr w:type="gramStart"/>
            <w:r w:rsidRPr="005E56C5">
              <w:rPr>
                <w:rFonts w:asciiTheme="minorHAnsi" w:hAnsiTheme="minorHAnsi" w:cstheme="minorHAnsi"/>
                <w:color w:val="auto"/>
              </w:rPr>
              <w:t>Coordinator,  OCHA</w:t>
            </w:r>
            <w:proofErr w:type="gramEnd"/>
          </w:p>
        </w:tc>
      </w:tr>
      <w:tr w:rsidR="005315C3" w:rsidRPr="005E56C5" w14:paraId="1F1AE2F4" w14:textId="77777777" w:rsidTr="7B05422E">
        <w:trPr>
          <w:trHeight w:val="465"/>
        </w:trPr>
        <w:tc>
          <w:tcPr>
            <w:tcW w:w="3114" w:type="dxa"/>
            <w:vMerge/>
          </w:tcPr>
          <w:p w14:paraId="04F2A1B7" w14:textId="7777777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6B328D25" w14:textId="5D07EDC7" w:rsidR="005315C3" w:rsidRPr="005E56C5" w:rsidRDefault="005315C3" w:rsidP="00105CF4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Status of development and implementation of the UNCT/HCT PSEA Action Plan, including clearly defined roles and responsibilities of each actor.</w:t>
            </w:r>
          </w:p>
        </w:tc>
        <w:tc>
          <w:tcPr>
            <w:tcW w:w="3260" w:type="dxa"/>
          </w:tcPr>
          <w:p w14:paraId="0D5DAFF8" w14:textId="0AF870BD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 PSEA Action Plan is endorsed by all UNCT/HCT members.</w:t>
            </w:r>
          </w:p>
        </w:tc>
        <w:tc>
          <w:tcPr>
            <w:tcW w:w="1706" w:type="dxa"/>
          </w:tcPr>
          <w:p w14:paraId="5E346361" w14:textId="26D11792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Action Plan is endorsed by UNCT/HCT.</w:t>
            </w:r>
          </w:p>
        </w:tc>
        <w:tc>
          <w:tcPr>
            <w:tcW w:w="1271" w:type="dxa"/>
          </w:tcPr>
          <w:p w14:paraId="1AD5797A" w14:textId="1D5AC3C3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June 2022</w:t>
            </w:r>
          </w:p>
        </w:tc>
        <w:tc>
          <w:tcPr>
            <w:tcW w:w="1275" w:type="dxa"/>
          </w:tcPr>
          <w:p w14:paraId="0AA1ECC1" w14:textId="3E14C4F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Internal resources</w:t>
            </w:r>
          </w:p>
        </w:tc>
        <w:tc>
          <w:tcPr>
            <w:tcW w:w="1418" w:type="dxa"/>
          </w:tcPr>
          <w:p w14:paraId="01045AC5" w14:textId="30D0CE11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UNCT/HCT</w:t>
            </w:r>
          </w:p>
        </w:tc>
      </w:tr>
      <w:tr w:rsidR="005315C3" w:rsidRPr="005E56C5" w14:paraId="2E112507" w14:textId="77777777" w:rsidTr="7B05422E">
        <w:trPr>
          <w:trHeight w:val="602"/>
        </w:trPr>
        <w:tc>
          <w:tcPr>
            <w:tcW w:w="3114" w:type="dxa"/>
            <w:vMerge/>
          </w:tcPr>
          <w:p w14:paraId="13F4C043" w14:textId="7777777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2F807F8A" w14:textId="664FDCF1" w:rsidR="005315C3" w:rsidRPr="005E56C5" w:rsidRDefault="005315C3" w:rsidP="00105CF4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 xml:space="preserve">Percentage of UNCT/HCT members that have appointed a dedicated PSEA technical focal point to the PSEA Network (with clear </w:t>
            </w:r>
            <w:proofErr w:type="spellStart"/>
            <w:r w:rsidRPr="005E56C5">
              <w:rPr>
                <w:rFonts w:asciiTheme="minorHAnsi" w:hAnsiTheme="minorHAnsi" w:cstheme="minorHAnsi"/>
                <w:color w:val="auto"/>
              </w:rPr>
              <w:t>ToRs</w:t>
            </w:r>
            <w:proofErr w:type="spellEnd"/>
            <w:r w:rsidRPr="005E56C5">
              <w:rPr>
                <w:rFonts w:asciiTheme="minorHAnsi" w:hAnsiTheme="minorHAnsi" w:cstheme="minorHAnsi"/>
                <w:color w:val="auto"/>
              </w:rPr>
              <w:t>).</w:t>
            </w:r>
          </w:p>
        </w:tc>
        <w:tc>
          <w:tcPr>
            <w:tcW w:w="3260" w:type="dxa"/>
          </w:tcPr>
          <w:p w14:paraId="6FA9A99F" w14:textId="33696E8E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100% of UNCT/HCT members have appointed a dedicated PSEA Focal Point with clear TORs</w:t>
            </w:r>
          </w:p>
        </w:tc>
        <w:tc>
          <w:tcPr>
            <w:tcW w:w="1706" w:type="dxa"/>
          </w:tcPr>
          <w:p w14:paraId="5ADD2675" w14:textId="4C0AB1EB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Update of FPs list, TORs for FP are part of SOPs package</w:t>
            </w:r>
          </w:p>
        </w:tc>
        <w:tc>
          <w:tcPr>
            <w:tcW w:w="1271" w:type="dxa"/>
          </w:tcPr>
          <w:p w14:paraId="71192D58" w14:textId="4611D011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June 2022</w:t>
            </w:r>
          </w:p>
        </w:tc>
        <w:tc>
          <w:tcPr>
            <w:tcW w:w="1275" w:type="dxa"/>
          </w:tcPr>
          <w:p w14:paraId="6DED76D0" w14:textId="3467E7EE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49F3EE7E" w14:textId="615BE691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Coordinator/Network</w:t>
            </w:r>
          </w:p>
        </w:tc>
      </w:tr>
      <w:tr w:rsidR="005315C3" w:rsidRPr="005E56C5" w14:paraId="3576C64A" w14:textId="1054ECEA" w:rsidTr="0062690F">
        <w:trPr>
          <w:trHeight w:val="233"/>
        </w:trPr>
        <w:tc>
          <w:tcPr>
            <w:tcW w:w="3114" w:type="dxa"/>
          </w:tcPr>
          <w:p w14:paraId="202A2523" w14:textId="4F26DA42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b/>
                <w:bCs/>
                <w:color w:val="auto"/>
              </w:rPr>
              <w:t>Output 5.5</w:t>
            </w:r>
            <w:r w:rsidRPr="005E56C5">
              <w:rPr>
                <w:rFonts w:asciiTheme="minorHAnsi" w:hAnsiTheme="minorHAnsi" w:cstheme="minorHAnsi"/>
                <w:color w:val="auto"/>
              </w:rPr>
              <w:t xml:space="preserve"> PSEA technical focal points from all UNCT/HCT members are in place and actively contribute to the PSEA Network’s delivery of PSEA outcomes (as per the above).</w:t>
            </w:r>
          </w:p>
        </w:tc>
        <w:tc>
          <w:tcPr>
            <w:tcW w:w="3544" w:type="dxa"/>
            <w:shd w:val="clear" w:color="auto" w:fill="auto"/>
          </w:tcPr>
          <w:p w14:paraId="0BDF8630" w14:textId="01919A99" w:rsidR="005315C3" w:rsidRPr="005E56C5" w:rsidRDefault="005315C3" w:rsidP="00105CF4">
            <w:pPr>
              <w:pStyle w:val="Paragrafoelenco"/>
              <w:numPr>
                <w:ilvl w:val="0"/>
                <w:numId w:val="5"/>
              </w:numPr>
              <w:tabs>
                <w:tab w:val="left" w:pos="26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The inter-agency PSEA network carries out regular SEA risk assessments and shares the findings and recommendations with the UNCT/HCT.</w:t>
            </w:r>
          </w:p>
        </w:tc>
        <w:tc>
          <w:tcPr>
            <w:tcW w:w="3260" w:type="dxa"/>
          </w:tcPr>
          <w:p w14:paraId="65548D47" w14:textId="5EB43199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Information and data related to risks of SEA are available.</w:t>
            </w:r>
          </w:p>
        </w:tc>
        <w:tc>
          <w:tcPr>
            <w:tcW w:w="1706" w:type="dxa"/>
          </w:tcPr>
          <w:p w14:paraId="192B8415" w14:textId="3BE2E729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Participation of PSEA Network in joint risk assessments, HNO analysis. Inclusion of questions related to SEA risks in Clusters rapid assessments and IOM DTM.</w:t>
            </w:r>
          </w:p>
        </w:tc>
        <w:tc>
          <w:tcPr>
            <w:tcW w:w="1271" w:type="dxa"/>
          </w:tcPr>
          <w:p w14:paraId="39C94363" w14:textId="27139059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Continuous</w:t>
            </w:r>
          </w:p>
        </w:tc>
        <w:tc>
          <w:tcPr>
            <w:tcW w:w="1275" w:type="dxa"/>
          </w:tcPr>
          <w:p w14:paraId="2ADC71BA" w14:textId="77777777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25119817" w14:textId="639FC978" w:rsidR="005315C3" w:rsidRPr="005E56C5" w:rsidRDefault="005315C3" w:rsidP="00105CF4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5E56C5">
              <w:rPr>
                <w:rFonts w:asciiTheme="minorHAnsi" w:hAnsiTheme="minorHAnsi" w:cstheme="minorHAnsi"/>
                <w:color w:val="auto"/>
              </w:rPr>
              <w:t>PSEA Network</w:t>
            </w:r>
          </w:p>
        </w:tc>
      </w:tr>
    </w:tbl>
    <w:p w14:paraId="0A5C368C" w14:textId="77777777" w:rsidR="003F5C10" w:rsidRPr="005E56C5" w:rsidRDefault="003F5C10" w:rsidP="00C31B06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7D898EA0" w14:textId="736DF4F5" w:rsidR="00C23E09" w:rsidRPr="005E56C5" w:rsidRDefault="00C23E09" w:rsidP="00C23E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E56C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For additional information and resources:</w:t>
      </w:r>
    </w:p>
    <w:p w14:paraId="21317CE3" w14:textId="261DA686" w:rsidR="00C23E09" w:rsidRPr="005E56C5" w:rsidRDefault="00000000" w:rsidP="00100B3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8" w:tgtFrame="_blank" w:history="1">
        <w:r w:rsidR="00C23E09" w:rsidRPr="005E56C5">
          <w:rPr>
            <w:rStyle w:val="normaltextrun"/>
            <w:rFonts w:asciiTheme="minorHAnsi" w:hAnsiTheme="minorHAnsi" w:cstheme="minorHAnsi"/>
            <w:sz w:val="20"/>
            <w:szCs w:val="20"/>
            <w:u w:val="single"/>
          </w:rPr>
          <w:t>Management and accountability of the UN Development and Resident Coordinator System</w:t>
        </w:r>
      </w:hyperlink>
    </w:p>
    <w:p w14:paraId="42E82D3B" w14:textId="0FFAB397" w:rsidR="00810ED8" w:rsidRPr="005E56C5" w:rsidRDefault="00000000" w:rsidP="00B84FA3">
      <w:pPr>
        <w:pStyle w:val="Testonotadichiusura"/>
        <w:numPr>
          <w:ilvl w:val="0"/>
          <w:numId w:val="22"/>
        </w:numPr>
        <w:rPr>
          <w:rStyle w:val="normaltextrun"/>
          <w:rFonts w:asciiTheme="minorHAnsi" w:eastAsia="Times New Roman" w:hAnsiTheme="minorHAnsi" w:cstheme="minorHAnsi"/>
          <w:color w:val="auto"/>
          <w:u w:val="single"/>
          <w:lang w:eastAsia="en-US"/>
        </w:rPr>
      </w:pPr>
      <w:hyperlink r:id="rId19" w:history="1">
        <w:r w:rsidR="00810ED8" w:rsidRPr="005E56C5">
          <w:rPr>
            <w:rStyle w:val="normaltextrun"/>
            <w:rFonts w:asciiTheme="minorHAnsi" w:eastAsia="Times New Roman" w:hAnsiTheme="minorHAnsi" w:cstheme="minorHAnsi"/>
            <w:color w:val="auto"/>
            <w:lang w:eastAsia="en-US"/>
          </w:rPr>
          <w:t>PSEA Knowledge Gateway</w:t>
        </w:r>
      </w:hyperlink>
    </w:p>
    <w:p w14:paraId="718EB69D" w14:textId="791C0491" w:rsidR="00B84FA3" w:rsidRPr="005E56C5" w:rsidRDefault="00000000" w:rsidP="00B84FA3">
      <w:pPr>
        <w:pStyle w:val="Testonotadichiusura"/>
        <w:numPr>
          <w:ilvl w:val="0"/>
          <w:numId w:val="22"/>
        </w:numPr>
        <w:rPr>
          <w:rStyle w:val="Collegamentoipertestuale"/>
          <w:rFonts w:asciiTheme="minorHAnsi" w:hAnsiTheme="minorHAnsi" w:cstheme="minorHAnsi"/>
          <w:color w:val="auto"/>
          <w:u w:val="none"/>
        </w:rPr>
      </w:pPr>
      <w:hyperlink r:id="rId20" w:history="1">
        <w:r w:rsidR="00B84FA3" w:rsidRPr="005E56C5">
          <w:rPr>
            <w:rStyle w:val="Collegamentoipertestuale"/>
            <w:rFonts w:asciiTheme="minorHAnsi" w:hAnsiTheme="minorHAnsi" w:cstheme="minorHAnsi"/>
            <w:color w:val="auto"/>
            <w:lang w:val="en-GB"/>
          </w:rPr>
          <w:t>Inter-Agency Standing Committee resources</w:t>
        </w:r>
      </w:hyperlink>
    </w:p>
    <w:p w14:paraId="0B0088EC" w14:textId="77777777" w:rsidR="00B84FA3" w:rsidRPr="005E56C5" w:rsidRDefault="00000000" w:rsidP="00B84FA3">
      <w:pPr>
        <w:pStyle w:val="Testonotadichiusura"/>
        <w:numPr>
          <w:ilvl w:val="1"/>
          <w:numId w:val="23"/>
        </w:numPr>
        <w:rPr>
          <w:rStyle w:val="Collegamentoipertestuale"/>
          <w:rFonts w:asciiTheme="minorHAnsi" w:hAnsiTheme="minorHAnsi" w:cstheme="minorHAnsi"/>
          <w:color w:val="auto"/>
          <w:lang w:val="en-GB"/>
        </w:rPr>
      </w:pPr>
      <w:hyperlink r:id="rId21" w:history="1">
        <w:r w:rsidR="00B84FA3" w:rsidRPr="005E56C5">
          <w:rPr>
            <w:rStyle w:val="Collegamentoipertestuale"/>
            <w:rFonts w:asciiTheme="minorHAnsi" w:hAnsiTheme="minorHAnsi" w:cstheme="minorHAnsi"/>
            <w:color w:val="auto"/>
            <w:lang w:val="en-GB"/>
          </w:rPr>
          <w:t>IASC Six Core Principles Relating to SEA</w:t>
        </w:r>
      </w:hyperlink>
      <w:r w:rsidR="00B84FA3" w:rsidRPr="005E56C5">
        <w:rPr>
          <w:rStyle w:val="Collegamentoipertestuale"/>
          <w:rFonts w:asciiTheme="minorHAnsi" w:hAnsiTheme="minorHAnsi" w:cstheme="minorHAnsi"/>
          <w:color w:val="auto"/>
          <w:lang w:val="en-GB"/>
        </w:rPr>
        <w:t xml:space="preserve"> (Revised 2019)</w:t>
      </w:r>
    </w:p>
    <w:p w14:paraId="2E916EB9" w14:textId="77777777" w:rsidR="00B84FA3" w:rsidRPr="005E56C5" w:rsidRDefault="00000000" w:rsidP="00B84FA3">
      <w:pPr>
        <w:pStyle w:val="Testonotadichiusura"/>
        <w:numPr>
          <w:ilvl w:val="1"/>
          <w:numId w:val="23"/>
        </w:numPr>
        <w:rPr>
          <w:rStyle w:val="Collegamentoipertestuale"/>
          <w:rFonts w:asciiTheme="minorHAnsi" w:hAnsiTheme="minorHAnsi" w:cstheme="minorHAnsi"/>
          <w:color w:val="auto"/>
          <w:lang w:val="en-GB"/>
        </w:rPr>
      </w:pPr>
      <w:hyperlink r:id="rId22" w:history="1">
        <w:r w:rsidR="00B84FA3" w:rsidRPr="005E56C5">
          <w:rPr>
            <w:rStyle w:val="Collegamentoipertestuale"/>
            <w:rFonts w:asciiTheme="minorHAnsi" w:hAnsiTheme="minorHAnsi" w:cstheme="minorHAnsi"/>
            <w:color w:val="auto"/>
            <w:lang w:val="en-GB"/>
          </w:rPr>
          <w:t>IASC Minimum Operating Standards PSEA</w:t>
        </w:r>
      </w:hyperlink>
      <w:r w:rsidR="00B84FA3" w:rsidRPr="005E56C5">
        <w:rPr>
          <w:rStyle w:val="Collegamentoipertestuale"/>
          <w:rFonts w:asciiTheme="minorHAnsi" w:hAnsiTheme="minorHAnsi" w:cstheme="minorHAnsi"/>
          <w:color w:val="auto"/>
          <w:lang w:val="en-GB"/>
        </w:rPr>
        <w:t xml:space="preserve"> </w:t>
      </w:r>
    </w:p>
    <w:p w14:paraId="1C517066" w14:textId="77777777" w:rsidR="00B84FA3" w:rsidRPr="005E56C5" w:rsidRDefault="00000000" w:rsidP="00B84FA3">
      <w:pPr>
        <w:pStyle w:val="Testonotadichiusura"/>
        <w:numPr>
          <w:ilvl w:val="1"/>
          <w:numId w:val="23"/>
        </w:numPr>
        <w:rPr>
          <w:rStyle w:val="Collegamentoipertestuale"/>
          <w:rFonts w:asciiTheme="minorHAnsi" w:hAnsiTheme="minorHAnsi" w:cstheme="minorHAnsi"/>
          <w:color w:val="auto"/>
          <w:lang w:val="en-GB"/>
        </w:rPr>
      </w:pPr>
      <w:hyperlink r:id="rId23" w:history="1">
        <w:r w:rsidR="00B84FA3" w:rsidRPr="005E56C5">
          <w:rPr>
            <w:rStyle w:val="Collegamentoipertestuale"/>
            <w:rFonts w:asciiTheme="minorHAnsi" w:hAnsiTheme="minorHAnsi" w:cstheme="minorHAnsi"/>
            <w:color w:val="auto"/>
            <w:lang w:val="en-GB"/>
          </w:rPr>
          <w:t>Guideline – Inter-Agency Community-Based Complaint Mechanisms – Protection against Sexual Exploitation and Abuse</w:t>
        </w:r>
      </w:hyperlink>
    </w:p>
    <w:p w14:paraId="0799FC24" w14:textId="0101DCDE" w:rsidR="00C23E09" w:rsidRPr="005E56C5" w:rsidRDefault="00000000" w:rsidP="00100B3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24" w:tgtFrame="_blank" w:history="1">
        <w:r w:rsidR="00C23E09" w:rsidRPr="005E56C5">
          <w:rPr>
            <w:rStyle w:val="normaltextrun"/>
            <w:rFonts w:asciiTheme="minorHAnsi" w:hAnsiTheme="minorHAnsi" w:cstheme="minorHAnsi"/>
            <w:sz w:val="20"/>
            <w:szCs w:val="20"/>
            <w:u w:val="single"/>
          </w:rPr>
          <w:t>Guideline – Inter-Agency Community-Based Complaint Mechanisms – Protection against Sexual Exploitation and Abuse</w:t>
        </w:r>
      </w:hyperlink>
    </w:p>
    <w:p w14:paraId="396A9592" w14:textId="680C5626" w:rsidR="00C23E09" w:rsidRPr="005E56C5" w:rsidRDefault="00000000" w:rsidP="00100B3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hyperlink r:id="rId25" w:tgtFrame="_blank" w:history="1">
        <w:r w:rsidR="00C23E09" w:rsidRPr="005E56C5">
          <w:rPr>
            <w:rStyle w:val="normaltextrun"/>
            <w:rFonts w:asciiTheme="minorHAnsi" w:hAnsiTheme="minorHAnsi" w:cstheme="minorHAnsi"/>
            <w:sz w:val="20"/>
            <w:szCs w:val="20"/>
            <w:u w:val="single"/>
          </w:rPr>
          <w:t>UN System Policies and Protocols on PSEA</w:t>
        </w:r>
      </w:hyperlink>
    </w:p>
    <w:p w14:paraId="5A8A8554" w14:textId="09ED14EF" w:rsidR="00C23E09" w:rsidRPr="005E56C5" w:rsidRDefault="00000000" w:rsidP="00B21040">
      <w:pPr>
        <w:pStyle w:val="Paragrafoelenco"/>
        <w:numPr>
          <w:ilvl w:val="0"/>
          <w:numId w:val="8"/>
        </w:numPr>
        <w:rPr>
          <w:rStyle w:val="Collegamentoipertestuale"/>
          <w:rFonts w:asciiTheme="minorHAnsi" w:hAnsiTheme="minorHAnsi" w:cstheme="minorHAnsi"/>
          <w:color w:val="auto"/>
          <w:sz w:val="20"/>
        </w:rPr>
      </w:pPr>
      <w:hyperlink r:id="rId26" w:history="1">
        <w:r w:rsidR="00EB1C0D" w:rsidRPr="005E56C5">
          <w:rPr>
            <w:rStyle w:val="Collegamentoipertestuale"/>
            <w:rFonts w:asciiTheme="minorHAnsi" w:eastAsia="Times New Roman" w:hAnsiTheme="minorHAnsi" w:cstheme="minorHAnsi"/>
            <w:color w:val="auto"/>
            <w:sz w:val="20"/>
            <w:lang w:eastAsia="en-US"/>
          </w:rPr>
          <w:t>Office of the Victims' Rights Advocate</w:t>
        </w:r>
      </w:hyperlink>
    </w:p>
    <w:p w14:paraId="6748D749" w14:textId="7E2AF5BB" w:rsidR="00A71624" w:rsidRPr="005E56C5" w:rsidRDefault="00000000" w:rsidP="00B2104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u w:val="single"/>
        </w:rPr>
      </w:pPr>
      <w:hyperlink r:id="rId27" w:history="1">
        <w:r w:rsidR="00A71624" w:rsidRPr="005E56C5">
          <w:rPr>
            <w:rFonts w:asciiTheme="minorHAnsi" w:eastAsiaTheme="minorHAnsi" w:hAnsiTheme="minorHAnsi" w:cstheme="minorHAnsi"/>
            <w:color w:val="auto"/>
            <w:sz w:val="20"/>
            <w:u w:val="single" w:color="094FD1"/>
            <w:lang w:eastAsia="en-US"/>
          </w:rPr>
          <w:t>Episode 1 - PSEA training: GBV and SEA #Somalia​ (SOMALI Sub) - YouTube</w:t>
        </w:r>
      </w:hyperlink>
    </w:p>
    <w:sectPr w:rsidR="00A71624" w:rsidRPr="005E56C5" w:rsidSect="00071414">
      <w:headerReference w:type="default" r:id="rId28"/>
      <w:footerReference w:type="default" r:id="rId29"/>
      <w:pgSz w:w="16838" w:h="11906" w:orient="landscape" w:code="9"/>
      <w:pgMar w:top="720" w:right="720" w:bottom="720" w:left="720" w:header="72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D503" w14:textId="77777777" w:rsidR="00A61711" w:rsidRDefault="00A61711" w:rsidP="000C123B">
      <w:r>
        <w:separator/>
      </w:r>
    </w:p>
  </w:endnote>
  <w:endnote w:type="continuationSeparator" w:id="0">
    <w:p w14:paraId="4A2DEA88" w14:textId="77777777" w:rsidR="00A61711" w:rsidRDefault="00A61711" w:rsidP="000C123B">
      <w:r>
        <w:continuationSeparator/>
      </w:r>
    </w:p>
  </w:endnote>
  <w:endnote w:type="continuationNotice" w:id="1">
    <w:p w14:paraId="1D1E5E0E" w14:textId="77777777" w:rsidR="00A61711" w:rsidRDefault="00A61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E50" w14:textId="41941900" w:rsidR="00061335" w:rsidRPr="00071414" w:rsidRDefault="00061335" w:rsidP="00071414">
    <w:pPr>
      <w:pStyle w:val="Pidipagina"/>
      <w:jc w:val="right"/>
      <w:rPr>
        <w:rFonts w:asciiTheme="minorHAnsi" w:hAnsiTheme="minorHAnsi" w:cstheme="minorHAnsi"/>
      </w:rPr>
    </w:pPr>
    <w:r w:rsidRPr="00AA2262">
      <w:rPr>
        <w:rFonts w:asciiTheme="minorHAnsi" w:hAnsiTheme="minorHAnsi"/>
      </w:rPr>
      <w:t xml:space="preserve">Version </w:t>
    </w:r>
    <w:r w:rsidR="00AC1BDA">
      <w:rPr>
        <w:rFonts w:asciiTheme="minorHAnsi" w:hAnsiTheme="minorHAnsi"/>
      </w:rPr>
      <w:t>9</w:t>
    </w:r>
    <w:r w:rsidR="00810ED8">
      <w:rPr>
        <w:rFonts w:asciiTheme="minorHAnsi" w:hAnsiTheme="minorHAnsi"/>
      </w:rPr>
      <w:t xml:space="preserve"> </w:t>
    </w:r>
    <w:r w:rsidR="00516C25">
      <w:rPr>
        <w:rFonts w:asciiTheme="minorHAnsi" w:hAnsiTheme="minorHAnsi"/>
      </w:rPr>
      <w:t>June 2021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sdt>
      <w:sdtPr>
        <w:rPr>
          <w:sz w:val="32"/>
          <w:szCs w:val="28"/>
        </w:rPr>
        <w:id w:val="8794474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0"/>
        </w:rPr>
      </w:sdtEndPr>
      <w:sdtContent>
        <w:r w:rsidRPr="00071414">
          <w:rPr>
            <w:rFonts w:asciiTheme="minorHAnsi" w:hAnsiTheme="minorHAnsi" w:cstheme="minorHAnsi"/>
          </w:rPr>
          <w:fldChar w:fldCharType="begin"/>
        </w:r>
        <w:r w:rsidRPr="00071414">
          <w:rPr>
            <w:rFonts w:asciiTheme="minorHAnsi" w:hAnsiTheme="minorHAnsi" w:cstheme="minorHAnsi"/>
          </w:rPr>
          <w:instrText xml:space="preserve"> PAGE   \* MERGEFORMAT </w:instrText>
        </w:r>
        <w:r w:rsidRPr="00071414">
          <w:rPr>
            <w:rFonts w:asciiTheme="minorHAnsi" w:hAnsiTheme="minorHAnsi" w:cstheme="minorHAnsi"/>
          </w:rPr>
          <w:fldChar w:fldCharType="separate"/>
        </w:r>
        <w:r w:rsidR="00962173">
          <w:rPr>
            <w:rFonts w:asciiTheme="minorHAnsi" w:hAnsiTheme="minorHAnsi" w:cstheme="minorHAnsi"/>
            <w:noProof/>
          </w:rPr>
          <w:t>15</w:t>
        </w:r>
        <w:r w:rsidRPr="00071414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3B2B" w14:textId="77777777" w:rsidR="00A61711" w:rsidRDefault="00A61711" w:rsidP="000C123B">
      <w:r>
        <w:separator/>
      </w:r>
    </w:p>
  </w:footnote>
  <w:footnote w:type="continuationSeparator" w:id="0">
    <w:p w14:paraId="67DDDB7A" w14:textId="77777777" w:rsidR="00A61711" w:rsidRDefault="00A61711" w:rsidP="000C123B">
      <w:r>
        <w:continuationSeparator/>
      </w:r>
    </w:p>
  </w:footnote>
  <w:footnote w:type="continuationNotice" w:id="1">
    <w:p w14:paraId="549B5D8B" w14:textId="77777777" w:rsidR="00A61711" w:rsidRDefault="00A61711"/>
  </w:footnote>
  <w:footnote w:id="2">
    <w:p w14:paraId="387DFDEC" w14:textId="77777777" w:rsidR="00A912E7" w:rsidRPr="005C530E" w:rsidRDefault="00A912E7" w:rsidP="00A912E7">
      <w:pPr>
        <w:pStyle w:val="Testonotaapidipagina"/>
        <w:rPr>
          <w:rFonts w:ascii="Calibri" w:hAnsi="Calibri" w:cstheme="minorHAnsi"/>
          <w:sz w:val="18"/>
          <w:szCs w:val="18"/>
        </w:rPr>
      </w:pPr>
      <w:r w:rsidRPr="005C530E">
        <w:rPr>
          <w:rStyle w:val="Rimandonotaapidipagina"/>
          <w:rFonts w:ascii="Calibri" w:hAnsi="Calibri" w:cstheme="minorHAnsi"/>
          <w:sz w:val="18"/>
          <w:szCs w:val="18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This applies to refugee and humanitarian context which could be sub-national or regional in nature.</w:t>
      </w:r>
    </w:p>
  </w:footnote>
  <w:footnote w:id="3">
    <w:p w14:paraId="7E4C884E" w14:textId="3DD4E070" w:rsidR="00061335" w:rsidRPr="005C530E" w:rsidRDefault="00061335">
      <w:pPr>
        <w:pStyle w:val="Testonotaapidipagina"/>
        <w:rPr>
          <w:rFonts w:ascii="Calibri" w:hAnsi="Calibri" w:cstheme="minorHAnsi"/>
          <w:sz w:val="18"/>
          <w:szCs w:val="18"/>
        </w:rPr>
      </w:pPr>
      <w:r w:rsidRPr="005C530E">
        <w:rPr>
          <w:rStyle w:val="Rimandonotaapidipagina"/>
          <w:rFonts w:ascii="Calibri" w:hAnsi="Calibri" w:cstheme="minorHAnsi"/>
          <w:sz w:val="18"/>
          <w:szCs w:val="18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The targets provided in the model template are intended as illustrative examples. Actual targets would need to be determined at country-level.</w:t>
      </w:r>
    </w:p>
  </w:footnote>
  <w:footnote w:id="4">
    <w:p w14:paraId="775E5905" w14:textId="5B13B801" w:rsidR="00061335" w:rsidRPr="005C530E" w:rsidRDefault="00061335">
      <w:pPr>
        <w:pStyle w:val="Testonotaapidipagina"/>
        <w:rPr>
          <w:rFonts w:ascii="Calibri" w:hAnsi="Calibri"/>
          <w:sz w:val="18"/>
          <w:szCs w:val="18"/>
        </w:rPr>
      </w:pPr>
      <w:r w:rsidRPr="005C530E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United Nations staff and related personnel include United Nations staff members, consultants, individual consultants/contractors, interns, </w:t>
      </w:r>
      <w:r>
        <w:rPr>
          <w:rFonts w:ascii="Calibri" w:hAnsi="Calibri" w:cstheme="minorHAnsi"/>
          <w:sz w:val="18"/>
          <w:szCs w:val="18"/>
          <w:lang w:val="en-GB"/>
        </w:rPr>
        <w:t>n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ational </w:t>
      </w:r>
      <w:r w:rsidR="00120009">
        <w:rPr>
          <w:rFonts w:ascii="Calibri" w:hAnsi="Calibri" w:cstheme="minorHAnsi"/>
          <w:sz w:val="18"/>
          <w:szCs w:val="18"/>
          <w:lang w:val="en-GB"/>
        </w:rPr>
        <w:t>o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fficers, United Nations </w:t>
      </w:r>
      <w:r w:rsidR="00120009">
        <w:rPr>
          <w:rFonts w:ascii="Calibri" w:hAnsi="Calibri" w:cstheme="minorHAnsi"/>
          <w:sz w:val="18"/>
          <w:szCs w:val="18"/>
          <w:lang w:val="en-GB"/>
        </w:rPr>
        <w:t>v</w:t>
      </w:r>
      <w:r w:rsidRPr="005C530E">
        <w:rPr>
          <w:rFonts w:ascii="Calibri" w:hAnsi="Calibri" w:cstheme="minorHAnsi"/>
          <w:sz w:val="18"/>
          <w:szCs w:val="18"/>
          <w:lang w:val="en-GB"/>
        </w:rPr>
        <w:t>olunteers, experts on mission and contingent members</w:t>
      </w:r>
      <w:r w:rsidRPr="005C530E">
        <w:rPr>
          <w:rFonts w:ascii="Calibri" w:hAnsi="Calibri" w:cstheme="minorHAnsi"/>
          <w:sz w:val="18"/>
          <w:szCs w:val="18"/>
        </w:rPr>
        <w:t>.</w:t>
      </w:r>
    </w:p>
  </w:footnote>
  <w:footnote w:id="5">
    <w:p w14:paraId="74A56011" w14:textId="5EE9319F" w:rsidR="009E5EEE" w:rsidRPr="005C530E" w:rsidRDefault="009E5EEE">
      <w:pPr>
        <w:pStyle w:val="Testonotaapidipagina"/>
        <w:rPr>
          <w:rFonts w:ascii="Calibri" w:hAnsi="Calibri"/>
          <w:sz w:val="18"/>
          <w:szCs w:val="18"/>
          <w:lang w:val="en-GB"/>
        </w:rPr>
      </w:pPr>
      <w:r w:rsidRPr="005C530E">
        <w:rPr>
          <w:rStyle w:val="Rimandonotaapidipagina"/>
          <w:rFonts w:ascii="Calibri" w:hAnsi="Calibri" w:cstheme="minorHAnsi"/>
          <w:sz w:val="18"/>
          <w:szCs w:val="18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A Community-based complaints mechanism (CBCM) is a complaints mechanism system blending both formal and informal community structures, built on engagement with the community where individuals are able and encouraged to safely report grievances – including </w:t>
      </w:r>
      <w:r w:rsidRPr="005C530E">
        <w:rPr>
          <w:rFonts w:ascii="Calibri" w:eastAsiaTheme="minorEastAsia" w:hAnsi="Calibri" w:cstheme="minorHAnsi"/>
          <w:color w:val="000000" w:themeColor="text1"/>
          <w:kern w:val="24"/>
          <w:sz w:val="18"/>
          <w:szCs w:val="18"/>
        </w:rPr>
        <w:t>sexual exploitation and abuse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 incidents – and those reports are referred to the appropriate entities for follow-up. See further information </w:t>
      </w:r>
      <w:hyperlink r:id="rId1" w:history="1">
        <w:r w:rsidRPr="005C530E">
          <w:rPr>
            <w:rStyle w:val="Collegamentoipertestuale"/>
            <w:rFonts w:ascii="Calibri" w:hAnsi="Calibri"/>
            <w:sz w:val="18"/>
            <w:szCs w:val="18"/>
            <w:lang w:val="en-GB"/>
          </w:rPr>
          <w:t>https://interagencystandingcommittee.org/system/files/best_practice_guide_inter_agency_community_based_complaint_mechanisms_1.pdf</w:t>
        </w:r>
      </w:hyperlink>
    </w:p>
  </w:footnote>
  <w:footnote w:id="6">
    <w:p w14:paraId="7E12D96F" w14:textId="1E86D5E2" w:rsidR="009E5EEE" w:rsidRPr="005C530E" w:rsidRDefault="009E5EEE">
      <w:pPr>
        <w:pStyle w:val="Testonotaapidipagina"/>
        <w:rPr>
          <w:rFonts w:ascii="Calibri" w:hAnsi="Calibri"/>
          <w:sz w:val="18"/>
          <w:szCs w:val="18"/>
        </w:rPr>
      </w:pPr>
      <w:r w:rsidRPr="005C530E">
        <w:rPr>
          <w:rStyle w:val="Rimandonotaapidipagina"/>
          <w:rFonts w:ascii="Calibri" w:hAnsi="Calibri"/>
          <w:sz w:val="18"/>
          <w:szCs w:val="18"/>
        </w:rPr>
        <w:footnoteRef/>
      </w:r>
      <w:r w:rsidRPr="005C530E">
        <w:rPr>
          <w:rFonts w:ascii="Calibri" w:hAnsi="Calibri"/>
          <w:sz w:val="18"/>
          <w:szCs w:val="18"/>
        </w:rPr>
        <w:t xml:space="preserve"> </w:t>
      </w:r>
      <w:r w:rsidRPr="005C530E">
        <w:rPr>
          <w:rFonts w:ascii="Calibri" w:hAnsi="Calibri" w:cstheme="minorHAnsi"/>
          <w:sz w:val="18"/>
          <w:szCs w:val="18"/>
          <w:lang w:val="en-GB"/>
        </w:rPr>
        <w:t>Type of mechanism and targeted locations to be determined by each UNCT/HCT</w:t>
      </w:r>
      <w:r w:rsidRPr="005C530E" w:rsidDel="00040CE5">
        <w:rPr>
          <w:rFonts w:ascii="Calibri" w:hAnsi="Calibri" w:cstheme="minorHAnsi"/>
          <w:sz w:val="18"/>
          <w:szCs w:val="18"/>
          <w:lang w:val="en-GB"/>
        </w:rPr>
        <w:t xml:space="preserve"> </w:t>
      </w:r>
      <w:r w:rsidRPr="005C530E">
        <w:rPr>
          <w:rFonts w:ascii="Calibri" w:hAnsi="Calibri" w:cstheme="minorHAnsi"/>
          <w:sz w:val="18"/>
          <w:szCs w:val="18"/>
          <w:lang w:val="en-GB"/>
        </w:rPr>
        <w:t>based on context and existing channels/mechanisms for reporting already functioning. Th</w:t>
      </w:r>
      <w:r>
        <w:rPr>
          <w:rFonts w:ascii="Calibri" w:hAnsi="Calibri" w:cstheme="minorHAnsi"/>
          <w:sz w:val="18"/>
          <w:szCs w:val="18"/>
          <w:lang w:val="en-GB"/>
        </w:rPr>
        <w:t>ese</w:t>
      </w:r>
      <w:r w:rsidRPr="005C530E">
        <w:rPr>
          <w:rFonts w:ascii="Calibri" w:hAnsi="Calibri" w:cstheme="minorHAnsi"/>
          <w:sz w:val="18"/>
          <w:szCs w:val="18"/>
          <w:lang w:val="en-GB"/>
        </w:rPr>
        <w:t xml:space="preserve"> could include, for example, phone hotlines, SMS, PSEA focal points, service points, etc. This could involve broader complaint channels that are strengthened with the necessary safeguards for reporting </w:t>
      </w:r>
      <w:r w:rsidRPr="005C530E">
        <w:rPr>
          <w:rFonts w:ascii="Calibri" w:eastAsiaTheme="minorEastAsia" w:hAnsi="Calibri" w:cstheme="minorHAnsi"/>
          <w:color w:val="000000" w:themeColor="text1"/>
          <w:kern w:val="24"/>
          <w:sz w:val="18"/>
          <w:szCs w:val="18"/>
        </w:rPr>
        <w:t>sexual exploitation and abuse</w:t>
      </w:r>
      <w:r w:rsidRPr="005C530E">
        <w:rPr>
          <w:rFonts w:ascii="Calibri" w:hAnsi="Calibri" w:cstheme="minorHAnsi"/>
          <w:sz w:val="18"/>
          <w:szCs w:val="18"/>
          <w:lang w:val="en-GB"/>
        </w:rPr>
        <w:t>, or training of PSEA focal points within protection-related services to support reporting and referrals, and/or other systems, and/or a combination of the above, as appropriate per the country context.</w:t>
      </w:r>
    </w:p>
  </w:footnote>
  <w:footnote w:id="7">
    <w:p w14:paraId="07486D20" w14:textId="2A40248E" w:rsidR="009E5EEE" w:rsidRPr="005C530E" w:rsidRDefault="009E5EEE">
      <w:pPr>
        <w:pStyle w:val="Testonotaapidipagina"/>
        <w:rPr>
          <w:rFonts w:ascii="Calibri" w:hAnsi="Calibri"/>
          <w:sz w:val="18"/>
          <w:szCs w:val="18"/>
        </w:rPr>
      </w:pPr>
      <w:r w:rsidRPr="005C530E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Access would be defined within the country context</w:t>
      </w:r>
      <w:r>
        <w:rPr>
          <w:rFonts w:ascii="Calibri" w:hAnsi="Calibri" w:cstheme="minorHAnsi"/>
          <w:sz w:val="18"/>
          <w:szCs w:val="18"/>
        </w:rPr>
        <w:t xml:space="preserve"> taking account of </w:t>
      </w:r>
      <w:r w:rsidRPr="005C530E">
        <w:rPr>
          <w:rFonts w:ascii="Calibri" w:hAnsi="Calibri" w:cstheme="minorHAnsi"/>
          <w:sz w:val="18"/>
          <w:szCs w:val="18"/>
        </w:rPr>
        <w:t xml:space="preserve">the type of complaint channels in place. This could include, for example, </w:t>
      </w:r>
      <w:r>
        <w:rPr>
          <w:rFonts w:ascii="Calibri" w:hAnsi="Calibri" w:cstheme="minorHAnsi"/>
          <w:sz w:val="18"/>
          <w:szCs w:val="18"/>
        </w:rPr>
        <w:t>report to individual directly</w:t>
      </w:r>
      <w:r w:rsidRPr="005C530E">
        <w:rPr>
          <w:rFonts w:ascii="Calibri" w:hAnsi="Calibri" w:cstheme="minorHAnsi"/>
          <w:sz w:val="18"/>
          <w:szCs w:val="18"/>
        </w:rPr>
        <w:t xml:space="preserve">, phone access, </w:t>
      </w:r>
      <w:r>
        <w:rPr>
          <w:rFonts w:ascii="Calibri" w:hAnsi="Calibri" w:cstheme="minorHAnsi"/>
          <w:sz w:val="18"/>
          <w:szCs w:val="18"/>
        </w:rPr>
        <w:t xml:space="preserve">taking account of </w:t>
      </w:r>
      <w:r w:rsidRPr="005C530E">
        <w:rPr>
          <w:rFonts w:ascii="Calibri" w:hAnsi="Calibri" w:cstheme="minorHAnsi"/>
          <w:sz w:val="18"/>
          <w:szCs w:val="18"/>
        </w:rPr>
        <w:t>age, gender, literacy, disability, etc., and/or a combination of factors. Please also note that this indicator refers to the estimated coverage of the population by the CBCM.</w:t>
      </w:r>
    </w:p>
  </w:footnote>
  <w:footnote w:id="8">
    <w:p w14:paraId="09C05FF4" w14:textId="12B2A941" w:rsidR="009E5EEE" w:rsidRPr="005C530E" w:rsidRDefault="009E5EEE">
      <w:pPr>
        <w:pStyle w:val="Testonotaapidipagina"/>
        <w:rPr>
          <w:rFonts w:ascii="Calibri" w:hAnsi="Calibri"/>
          <w:sz w:val="18"/>
          <w:szCs w:val="18"/>
        </w:rPr>
      </w:pPr>
      <w:r w:rsidRPr="005C530E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This indicator is intended to allow HCs/HCTs to track and measure the use of SEA-related complaint channels by affected populations, including by those who are most vulnerable, as a core component of their overall effectiveness. This indicator is to be read together with related indicators to understand the overall accessibility, trust in, and effectiveness of SEA-sensitive complaint channels by and for affected communities. It is not intended to replace or duplicate the external reporting obligations that agencies hold, for example the UN reporting of </w:t>
      </w:r>
      <w:r w:rsidRPr="005C530E">
        <w:rPr>
          <w:rFonts w:ascii="Calibri" w:eastAsiaTheme="minorEastAsia" w:hAnsi="Calibri" w:cstheme="minorHAnsi"/>
          <w:color w:val="000000" w:themeColor="text1"/>
          <w:kern w:val="24"/>
          <w:sz w:val="18"/>
          <w:szCs w:val="18"/>
        </w:rPr>
        <w:t>sexual exploitation and abuse</w:t>
      </w:r>
      <w:r w:rsidRPr="005C530E">
        <w:rPr>
          <w:rFonts w:ascii="Calibri" w:hAnsi="Calibri" w:cstheme="minorHAnsi"/>
          <w:sz w:val="18"/>
          <w:szCs w:val="18"/>
        </w:rPr>
        <w:t xml:space="preserve"> allegations to the UN Secretary-General on a quarterly basis.</w:t>
      </w:r>
    </w:p>
  </w:footnote>
  <w:footnote w:id="9">
    <w:p w14:paraId="20EA94AB" w14:textId="05841F8A" w:rsidR="009E5EEE" w:rsidRPr="005C530E" w:rsidRDefault="009E5EEE">
      <w:pPr>
        <w:pStyle w:val="Testonotaapidipagina"/>
        <w:rPr>
          <w:rFonts w:ascii="Calibri" w:hAnsi="Calibri" w:cstheme="minorHAnsi"/>
          <w:sz w:val="18"/>
          <w:szCs w:val="18"/>
        </w:rPr>
      </w:pPr>
      <w:r w:rsidRPr="005C530E">
        <w:rPr>
          <w:rStyle w:val="Rimandonotaapidipagina"/>
          <w:rFonts w:ascii="Calibri" w:hAnsi="Calibri" w:cstheme="minorHAnsi"/>
          <w:sz w:val="18"/>
          <w:szCs w:val="18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Support to </w:t>
      </w:r>
      <w:r>
        <w:rPr>
          <w:rFonts w:ascii="Calibri" w:hAnsi="Calibri" w:cstheme="minorHAnsi"/>
          <w:sz w:val="18"/>
          <w:szCs w:val="18"/>
        </w:rPr>
        <w:t>victims/survivors/</w:t>
      </w:r>
      <w:r w:rsidRPr="005C530E">
        <w:rPr>
          <w:rFonts w:ascii="Calibri" w:hAnsi="Calibri" w:cstheme="minorHAnsi"/>
          <w:sz w:val="18"/>
          <w:szCs w:val="18"/>
        </w:rPr>
        <w:t xml:space="preserve">complainants is unconnected with the investigation and should be pursued from the time of an allegation as indicated in the </w:t>
      </w:r>
      <w:hyperlink r:id="rId2" w:history="1">
        <w:r w:rsidRPr="005C530E">
          <w:rPr>
            <w:rStyle w:val="Collegamentoipertestuale"/>
            <w:rFonts w:ascii="Calibri" w:hAnsi="Calibri" w:cstheme="minorHAnsi"/>
            <w:sz w:val="18"/>
            <w:szCs w:val="18"/>
          </w:rPr>
          <w:t>UN Comprehensive Strategy on Assistance and Support to Victims of Sexual Exploitation and Abuse</w:t>
        </w:r>
      </w:hyperlink>
      <w:r w:rsidRPr="005C530E">
        <w:rPr>
          <w:rFonts w:ascii="Calibri" w:hAnsi="Calibri" w:cstheme="minorHAnsi"/>
          <w:sz w:val="18"/>
          <w:szCs w:val="18"/>
        </w:rPr>
        <w:t xml:space="preserve"> </w:t>
      </w:r>
    </w:p>
  </w:footnote>
  <w:footnote w:id="10">
    <w:p w14:paraId="7F51E21C" w14:textId="13179362" w:rsidR="00105CF4" w:rsidRPr="005C530E" w:rsidRDefault="00105CF4">
      <w:pPr>
        <w:pStyle w:val="Testonotaapidipagina"/>
        <w:rPr>
          <w:rFonts w:ascii="Calibri" w:hAnsi="Calibri"/>
          <w:sz w:val="18"/>
          <w:szCs w:val="18"/>
        </w:rPr>
      </w:pPr>
      <w:r w:rsidRPr="005C530E">
        <w:rPr>
          <w:rStyle w:val="Rimandonotaapidipagina"/>
          <w:rFonts w:ascii="Calibri" w:hAnsi="Calibri"/>
          <w:sz w:val="18"/>
          <w:szCs w:val="18"/>
        </w:rPr>
        <w:footnoteRef/>
      </w:r>
      <w:r w:rsidRPr="005C530E">
        <w:rPr>
          <w:rFonts w:ascii="Calibri" w:hAnsi="Calibri"/>
          <w:sz w:val="18"/>
          <w:szCs w:val="18"/>
        </w:rPr>
        <w:t xml:space="preserve"> See the </w:t>
      </w:r>
      <w:hyperlink r:id="rId3" w:history="1">
        <w:r w:rsidRPr="005C530E">
          <w:rPr>
            <w:rStyle w:val="Collegamentoipertestuale"/>
            <w:rFonts w:ascii="Calibri" w:hAnsi="Calibri"/>
            <w:sz w:val="18"/>
            <w:szCs w:val="18"/>
          </w:rPr>
          <w:t>UN Protocol on the provision of assistance to victims of sexual exploitation and abuse</w:t>
        </w:r>
      </w:hyperlink>
      <w:r w:rsidRPr="005C530E">
        <w:rPr>
          <w:rFonts w:ascii="Calibri" w:hAnsi="Calibri"/>
          <w:sz w:val="18"/>
          <w:szCs w:val="18"/>
        </w:rPr>
        <w:t xml:space="preserve"> (“UN Victims’ Assistance Protocol”), 12 Dec 2019. This could include, for example, the inclusion of reference and procedures for referrals and accessing services.</w:t>
      </w:r>
    </w:p>
  </w:footnote>
  <w:footnote w:id="11">
    <w:p w14:paraId="46FC20FB" w14:textId="19BA0E96" w:rsidR="00105CF4" w:rsidRPr="005C530E" w:rsidRDefault="00105CF4">
      <w:pPr>
        <w:pStyle w:val="Testonotaapidipagina"/>
        <w:rPr>
          <w:rFonts w:ascii="Calibri" w:hAnsi="Calibri" w:cstheme="minorHAnsi"/>
          <w:sz w:val="18"/>
          <w:szCs w:val="18"/>
        </w:rPr>
      </w:pPr>
      <w:r w:rsidRPr="005C530E">
        <w:rPr>
          <w:rStyle w:val="Rimandonotaapidipagina"/>
          <w:rFonts w:ascii="Calibri" w:hAnsi="Calibri" w:cstheme="minorHAnsi"/>
          <w:sz w:val="18"/>
          <w:szCs w:val="18"/>
        </w:rPr>
        <w:footnoteRef/>
      </w:r>
      <w:r w:rsidRPr="005C530E">
        <w:rPr>
          <w:rFonts w:ascii="Calibri" w:hAnsi="Calibri" w:cstheme="minorHAnsi"/>
          <w:sz w:val="18"/>
          <w:szCs w:val="18"/>
        </w:rPr>
        <w:t xml:space="preserve"> This may include civil and criminal proceeding, as well as other redress measures.</w:t>
      </w:r>
    </w:p>
  </w:footnote>
  <w:footnote w:id="12">
    <w:p w14:paraId="1490FD84" w14:textId="006CB59A" w:rsidR="00105CF4" w:rsidRPr="005C530E" w:rsidRDefault="00105CF4" w:rsidP="00810ED8">
      <w:pPr>
        <w:pStyle w:val="Testonotaapidipagina"/>
        <w:rPr>
          <w:rFonts w:ascii="Calibri" w:hAnsi="Calibri" w:cstheme="minorHAnsi"/>
          <w:sz w:val="18"/>
          <w:szCs w:val="18"/>
        </w:rPr>
      </w:pPr>
      <w:r w:rsidRPr="005C530E">
        <w:rPr>
          <w:rStyle w:val="Rimandonotaapidipagina"/>
          <w:rFonts w:ascii="Calibri" w:hAnsi="Calibri"/>
          <w:sz w:val="18"/>
          <w:szCs w:val="18"/>
        </w:rPr>
        <w:footnoteRef/>
      </w:r>
      <w:r w:rsidRPr="005C530E">
        <w:rPr>
          <w:rFonts w:ascii="Calibri" w:hAnsi="Calibri"/>
          <w:sz w:val="18"/>
          <w:szCs w:val="18"/>
        </w:rPr>
        <w:t xml:space="preserve"> </w:t>
      </w:r>
      <w:r w:rsidRPr="005C530E">
        <w:rPr>
          <w:rFonts w:ascii="Calibri" w:hAnsi="Calibri" w:cstheme="minorHAnsi"/>
          <w:sz w:val="18"/>
          <w:szCs w:val="18"/>
        </w:rPr>
        <w:t xml:space="preserve">Generic </w:t>
      </w:r>
      <w:proofErr w:type="spellStart"/>
      <w:r w:rsidRPr="005C530E">
        <w:rPr>
          <w:rFonts w:ascii="Calibri" w:hAnsi="Calibri" w:cstheme="minorHAnsi"/>
          <w:sz w:val="18"/>
          <w:szCs w:val="18"/>
        </w:rPr>
        <w:t>ToRs</w:t>
      </w:r>
      <w:proofErr w:type="spellEnd"/>
      <w:r w:rsidRPr="005C530E">
        <w:rPr>
          <w:rFonts w:ascii="Calibri" w:hAnsi="Calibri" w:cstheme="minorHAnsi"/>
          <w:sz w:val="18"/>
          <w:szCs w:val="18"/>
        </w:rPr>
        <w:t xml:space="preserve"> for a focal point for victims’ rights is available from the Office of the Victims’ Rights Advocate (</w:t>
      </w:r>
      <w:hyperlink r:id="rId4" w:history="1">
        <w:r w:rsidRPr="004A26D1">
          <w:rPr>
            <w:rStyle w:val="Collegamentoipertestuale"/>
            <w:rFonts w:ascii="Calibri" w:hAnsi="Calibri" w:cstheme="minorHAnsi"/>
            <w:sz w:val="18"/>
            <w:szCs w:val="18"/>
          </w:rPr>
          <w:t>ovra@un.org</w:t>
        </w:r>
      </w:hyperlink>
      <w:r w:rsidRPr="005C530E">
        <w:rPr>
          <w:rFonts w:ascii="Calibri" w:hAnsi="Calibri" w:cstheme="minorHAns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4499" w14:textId="57B4FEE6" w:rsidR="00061335" w:rsidRDefault="00061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1F3"/>
    <w:multiLevelType w:val="hybridMultilevel"/>
    <w:tmpl w:val="875A27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C8C"/>
    <w:multiLevelType w:val="hybridMultilevel"/>
    <w:tmpl w:val="5194F6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32D"/>
    <w:multiLevelType w:val="hybridMultilevel"/>
    <w:tmpl w:val="E6B67D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504"/>
    <w:multiLevelType w:val="hybridMultilevel"/>
    <w:tmpl w:val="5194F6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613A"/>
    <w:multiLevelType w:val="hybridMultilevel"/>
    <w:tmpl w:val="3E9410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411D"/>
    <w:multiLevelType w:val="hybridMultilevel"/>
    <w:tmpl w:val="CC740C34"/>
    <w:lvl w:ilvl="0" w:tplc="F9A2681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0E24"/>
    <w:multiLevelType w:val="hybridMultilevel"/>
    <w:tmpl w:val="36AEFF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2C8"/>
    <w:multiLevelType w:val="hybridMultilevel"/>
    <w:tmpl w:val="75CEE3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FCF"/>
    <w:multiLevelType w:val="multilevel"/>
    <w:tmpl w:val="59A22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64CF5"/>
    <w:multiLevelType w:val="hybridMultilevel"/>
    <w:tmpl w:val="F2460552"/>
    <w:lvl w:ilvl="0" w:tplc="A5D44D88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D4A"/>
    <w:multiLevelType w:val="hybridMultilevel"/>
    <w:tmpl w:val="B06C917E"/>
    <w:lvl w:ilvl="0" w:tplc="3A765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185"/>
    <w:multiLevelType w:val="hybridMultilevel"/>
    <w:tmpl w:val="EE3E51F8"/>
    <w:lvl w:ilvl="0" w:tplc="EBC6B94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C96"/>
    <w:multiLevelType w:val="hybridMultilevel"/>
    <w:tmpl w:val="78DADEE2"/>
    <w:lvl w:ilvl="0" w:tplc="3EB27F8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740"/>
    <w:multiLevelType w:val="hybridMultilevel"/>
    <w:tmpl w:val="7D36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36A22"/>
    <w:multiLevelType w:val="hybridMultilevel"/>
    <w:tmpl w:val="2D7674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927"/>
    <w:multiLevelType w:val="multilevel"/>
    <w:tmpl w:val="6B4C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BF12D2"/>
    <w:multiLevelType w:val="hybridMultilevel"/>
    <w:tmpl w:val="26DE9B7A"/>
    <w:lvl w:ilvl="0" w:tplc="3A7650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1D53"/>
    <w:multiLevelType w:val="hybridMultilevel"/>
    <w:tmpl w:val="102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B275C"/>
    <w:multiLevelType w:val="hybridMultilevel"/>
    <w:tmpl w:val="3B4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65BD"/>
    <w:multiLevelType w:val="hybridMultilevel"/>
    <w:tmpl w:val="6D4C78C2"/>
    <w:lvl w:ilvl="0" w:tplc="80EC52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848DE"/>
    <w:multiLevelType w:val="hybridMultilevel"/>
    <w:tmpl w:val="55421ADE"/>
    <w:lvl w:ilvl="0" w:tplc="A358F82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5D39"/>
    <w:multiLevelType w:val="hybridMultilevel"/>
    <w:tmpl w:val="9D3A48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436C"/>
    <w:multiLevelType w:val="multilevel"/>
    <w:tmpl w:val="8988A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898443">
    <w:abstractNumId w:val="20"/>
  </w:num>
  <w:num w:numId="2" w16cid:durableId="378551870">
    <w:abstractNumId w:val="14"/>
  </w:num>
  <w:num w:numId="3" w16cid:durableId="1159540090">
    <w:abstractNumId w:val="1"/>
  </w:num>
  <w:num w:numId="4" w16cid:durableId="600336178">
    <w:abstractNumId w:val="2"/>
  </w:num>
  <w:num w:numId="5" w16cid:durableId="1755006970">
    <w:abstractNumId w:val="13"/>
  </w:num>
  <w:num w:numId="6" w16cid:durableId="1482190301">
    <w:abstractNumId w:val="5"/>
  </w:num>
  <w:num w:numId="7" w16cid:durableId="3629605">
    <w:abstractNumId w:val="22"/>
  </w:num>
  <w:num w:numId="8" w16cid:durableId="2063600947">
    <w:abstractNumId w:val="8"/>
  </w:num>
  <w:num w:numId="9" w16cid:durableId="466973746">
    <w:abstractNumId w:val="21"/>
  </w:num>
  <w:num w:numId="10" w16cid:durableId="1894075355">
    <w:abstractNumId w:val="9"/>
  </w:num>
  <w:num w:numId="11" w16cid:durableId="316232384">
    <w:abstractNumId w:val="19"/>
  </w:num>
  <w:num w:numId="12" w16cid:durableId="707536859">
    <w:abstractNumId w:val="4"/>
  </w:num>
  <w:num w:numId="13" w16cid:durableId="2062627234">
    <w:abstractNumId w:val="12"/>
  </w:num>
  <w:num w:numId="14" w16cid:durableId="461844353">
    <w:abstractNumId w:val="3"/>
  </w:num>
  <w:num w:numId="15" w16cid:durableId="1941982331">
    <w:abstractNumId w:val="10"/>
  </w:num>
  <w:num w:numId="16" w16cid:durableId="744032818">
    <w:abstractNumId w:val="11"/>
  </w:num>
  <w:num w:numId="17" w16cid:durableId="1736198477">
    <w:abstractNumId w:val="16"/>
  </w:num>
  <w:num w:numId="18" w16cid:durableId="186868898">
    <w:abstractNumId w:val="0"/>
  </w:num>
  <w:num w:numId="19" w16cid:durableId="746734744">
    <w:abstractNumId w:val="6"/>
  </w:num>
  <w:num w:numId="20" w16cid:durableId="440880277">
    <w:abstractNumId w:val="17"/>
  </w:num>
  <w:num w:numId="21" w16cid:durableId="2124227451">
    <w:abstractNumId w:val="15"/>
  </w:num>
  <w:num w:numId="22" w16cid:durableId="1381636576">
    <w:abstractNumId w:val="7"/>
  </w:num>
  <w:num w:numId="23" w16cid:durableId="126703247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NTQ1MjY1MrIwMDNW0lEKTi0uzszPAykwtqgFACBN9ectAAAA"/>
  </w:docVars>
  <w:rsids>
    <w:rsidRoot w:val="00FE200E"/>
    <w:rsid w:val="00001D16"/>
    <w:rsid w:val="0000314C"/>
    <w:rsid w:val="00013759"/>
    <w:rsid w:val="000203E8"/>
    <w:rsid w:val="00020B5C"/>
    <w:rsid w:val="00025701"/>
    <w:rsid w:val="00025C8C"/>
    <w:rsid w:val="000267BD"/>
    <w:rsid w:val="0002704B"/>
    <w:rsid w:val="00030278"/>
    <w:rsid w:val="000337A4"/>
    <w:rsid w:val="00040BB0"/>
    <w:rsid w:val="00040CE5"/>
    <w:rsid w:val="0004168F"/>
    <w:rsid w:val="00042816"/>
    <w:rsid w:val="00043BDF"/>
    <w:rsid w:val="000448B7"/>
    <w:rsid w:val="00044AF0"/>
    <w:rsid w:val="00051BCB"/>
    <w:rsid w:val="00052C87"/>
    <w:rsid w:val="00052E60"/>
    <w:rsid w:val="00052E78"/>
    <w:rsid w:val="00053A56"/>
    <w:rsid w:val="000551F8"/>
    <w:rsid w:val="00055615"/>
    <w:rsid w:val="00057E0E"/>
    <w:rsid w:val="000608A9"/>
    <w:rsid w:val="00061335"/>
    <w:rsid w:val="00063762"/>
    <w:rsid w:val="00066685"/>
    <w:rsid w:val="000704A3"/>
    <w:rsid w:val="00071414"/>
    <w:rsid w:val="000732B6"/>
    <w:rsid w:val="00074B49"/>
    <w:rsid w:val="000752B1"/>
    <w:rsid w:val="00075723"/>
    <w:rsid w:val="00082A3A"/>
    <w:rsid w:val="00083420"/>
    <w:rsid w:val="00083E3C"/>
    <w:rsid w:val="00084DA2"/>
    <w:rsid w:val="00084F11"/>
    <w:rsid w:val="00085701"/>
    <w:rsid w:val="00087B94"/>
    <w:rsid w:val="000906D8"/>
    <w:rsid w:val="00092A33"/>
    <w:rsid w:val="000959FF"/>
    <w:rsid w:val="000A0F40"/>
    <w:rsid w:val="000A1279"/>
    <w:rsid w:val="000A23A9"/>
    <w:rsid w:val="000A4BE6"/>
    <w:rsid w:val="000A5909"/>
    <w:rsid w:val="000A615E"/>
    <w:rsid w:val="000B0180"/>
    <w:rsid w:val="000B0214"/>
    <w:rsid w:val="000B088F"/>
    <w:rsid w:val="000B3369"/>
    <w:rsid w:val="000B56D8"/>
    <w:rsid w:val="000C123B"/>
    <w:rsid w:val="000C2195"/>
    <w:rsid w:val="000C4821"/>
    <w:rsid w:val="000C6725"/>
    <w:rsid w:val="000C6B4A"/>
    <w:rsid w:val="000C7706"/>
    <w:rsid w:val="000D0B5E"/>
    <w:rsid w:val="000D0C10"/>
    <w:rsid w:val="000D595E"/>
    <w:rsid w:val="000E1177"/>
    <w:rsid w:val="000E763F"/>
    <w:rsid w:val="000E7F5E"/>
    <w:rsid w:val="000F0230"/>
    <w:rsid w:val="000F08CB"/>
    <w:rsid w:val="000F26F0"/>
    <w:rsid w:val="000F6674"/>
    <w:rsid w:val="000F76D0"/>
    <w:rsid w:val="00100B3C"/>
    <w:rsid w:val="00105CF4"/>
    <w:rsid w:val="00105F1E"/>
    <w:rsid w:val="001124E3"/>
    <w:rsid w:val="00112CEA"/>
    <w:rsid w:val="00113013"/>
    <w:rsid w:val="001144CD"/>
    <w:rsid w:val="0011758D"/>
    <w:rsid w:val="00120009"/>
    <w:rsid w:val="00123691"/>
    <w:rsid w:val="0012674B"/>
    <w:rsid w:val="00127C63"/>
    <w:rsid w:val="00127CCC"/>
    <w:rsid w:val="001326CA"/>
    <w:rsid w:val="001327E6"/>
    <w:rsid w:val="00134FAD"/>
    <w:rsid w:val="0013583A"/>
    <w:rsid w:val="00135C65"/>
    <w:rsid w:val="0013713A"/>
    <w:rsid w:val="001374D5"/>
    <w:rsid w:val="00140D94"/>
    <w:rsid w:val="001438F6"/>
    <w:rsid w:val="0014504C"/>
    <w:rsid w:val="00145110"/>
    <w:rsid w:val="00146AB9"/>
    <w:rsid w:val="00151226"/>
    <w:rsid w:val="001556EE"/>
    <w:rsid w:val="001600BD"/>
    <w:rsid w:val="00160F9E"/>
    <w:rsid w:val="00163962"/>
    <w:rsid w:val="00163ED0"/>
    <w:rsid w:val="001645CB"/>
    <w:rsid w:val="00165C9D"/>
    <w:rsid w:val="001711E6"/>
    <w:rsid w:val="00172D54"/>
    <w:rsid w:val="00175C64"/>
    <w:rsid w:val="00176FD3"/>
    <w:rsid w:val="00182AD8"/>
    <w:rsid w:val="001847E8"/>
    <w:rsid w:val="00185CFD"/>
    <w:rsid w:val="001861CD"/>
    <w:rsid w:val="00186AF3"/>
    <w:rsid w:val="00190FF5"/>
    <w:rsid w:val="00191CF1"/>
    <w:rsid w:val="00193D08"/>
    <w:rsid w:val="00195306"/>
    <w:rsid w:val="001954C8"/>
    <w:rsid w:val="001959C6"/>
    <w:rsid w:val="00195DBC"/>
    <w:rsid w:val="00197D45"/>
    <w:rsid w:val="001A0E39"/>
    <w:rsid w:val="001A3071"/>
    <w:rsid w:val="001A358D"/>
    <w:rsid w:val="001A5309"/>
    <w:rsid w:val="001A6C77"/>
    <w:rsid w:val="001A7857"/>
    <w:rsid w:val="001B01E2"/>
    <w:rsid w:val="001B250E"/>
    <w:rsid w:val="001B3145"/>
    <w:rsid w:val="001B4178"/>
    <w:rsid w:val="001B48F1"/>
    <w:rsid w:val="001C0217"/>
    <w:rsid w:val="001C29BC"/>
    <w:rsid w:val="001C3C19"/>
    <w:rsid w:val="001C564E"/>
    <w:rsid w:val="001C5995"/>
    <w:rsid w:val="001C75EA"/>
    <w:rsid w:val="001D1CF4"/>
    <w:rsid w:val="001D31F3"/>
    <w:rsid w:val="001D5BF0"/>
    <w:rsid w:val="001D6232"/>
    <w:rsid w:val="001D63D2"/>
    <w:rsid w:val="001D7FA8"/>
    <w:rsid w:val="001E06D1"/>
    <w:rsid w:val="001E1239"/>
    <w:rsid w:val="001E1296"/>
    <w:rsid w:val="001E1CC2"/>
    <w:rsid w:val="001E2407"/>
    <w:rsid w:val="001E30E2"/>
    <w:rsid w:val="001E39A4"/>
    <w:rsid w:val="001E42A9"/>
    <w:rsid w:val="001E5240"/>
    <w:rsid w:val="001E5739"/>
    <w:rsid w:val="001E67A8"/>
    <w:rsid w:val="001E6C5F"/>
    <w:rsid w:val="001F0856"/>
    <w:rsid w:val="001F0A78"/>
    <w:rsid w:val="001F19A9"/>
    <w:rsid w:val="001F21BC"/>
    <w:rsid w:val="001F3899"/>
    <w:rsid w:val="001F47AC"/>
    <w:rsid w:val="00203389"/>
    <w:rsid w:val="00203F11"/>
    <w:rsid w:val="00205CA8"/>
    <w:rsid w:val="002060DE"/>
    <w:rsid w:val="0020645E"/>
    <w:rsid w:val="002064B5"/>
    <w:rsid w:val="0021287D"/>
    <w:rsid w:val="00212BB5"/>
    <w:rsid w:val="00213049"/>
    <w:rsid w:val="002162D2"/>
    <w:rsid w:val="0022134A"/>
    <w:rsid w:val="00221876"/>
    <w:rsid w:val="00222690"/>
    <w:rsid w:val="0022277B"/>
    <w:rsid w:val="0023130A"/>
    <w:rsid w:val="0023131B"/>
    <w:rsid w:val="002320A1"/>
    <w:rsid w:val="002337C4"/>
    <w:rsid w:val="00236EA9"/>
    <w:rsid w:val="002409D4"/>
    <w:rsid w:val="00242D06"/>
    <w:rsid w:val="00243A53"/>
    <w:rsid w:val="002442AA"/>
    <w:rsid w:val="002472D5"/>
    <w:rsid w:val="0024792E"/>
    <w:rsid w:val="00250E23"/>
    <w:rsid w:val="00250E96"/>
    <w:rsid w:val="00251A51"/>
    <w:rsid w:val="002521EA"/>
    <w:rsid w:val="002528B2"/>
    <w:rsid w:val="00253FF7"/>
    <w:rsid w:val="0025473B"/>
    <w:rsid w:val="00254DFD"/>
    <w:rsid w:val="00255745"/>
    <w:rsid w:val="00255983"/>
    <w:rsid w:val="00255FAC"/>
    <w:rsid w:val="00256CBD"/>
    <w:rsid w:val="00257DB2"/>
    <w:rsid w:val="0026441A"/>
    <w:rsid w:val="00267CDA"/>
    <w:rsid w:val="00270E97"/>
    <w:rsid w:val="002770F3"/>
    <w:rsid w:val="00281337"/>
    <w:rsid w:val="00282D3A"/>
    <w:rsid w:val="002836AF"/>
    <w:rsid w:val="00284285"/>
    <w:rsid w:val="00284B83"/>
    <w:rsid w:val="00284C6F"/>
    <w:rsid w:val="00290178"/>
    <w:rsid w:val="00291B55"/>
    <w:rsid w:val="002931EC"/>
    <w:rsid w:val="00295269"/>
    <w:rsid w:val="002956BD"/>
    <w:rsid w:val="00296CFD"/>
    <w:rsid w:val="00296D9F"/>
    <w:rsid w:val="0029796C"/>
    <w:rsid w:val="002A33E1"/>
    <w:rsid w:val="002A3774"/>
    <w:rsid w:val="002A38A8"/>
    <w:rsid w:val="002A3D42"/>
    <w:rsid w:val="002A4A8B"/>
    <w:rsid w:val="002A7777"/>
    <w:rsid w:val="002B0563"/>
    <w:rsid w:val="002B0F07"/>
    <w:rsid w:val="002B1BFC"/>
    <w:rsid w:val="002B1D78"/>
    <w:rsid w:val="002B325B"/>
    <w:rsid w:val="002B5D9D"/>
    <w:rsid w:val="002C1296"/>
    <w:rsid w:val="002C31B2"/>
    <w:rsid w:val="002C3740"/>
    <w:rsid w:val="002C65FC"/>
    <w:rsid w:val="002C6C48"/>
    <w:rsid w:val="002D1C01"/>
    <w:rsid w:val="002D27C4"/>
    <w:rsid w:val="002D3628"/>
    <w:rsid w:val="002D5CA8"/>
    <w:rsid w:val="002D6501"/>
    <w:rsid w:val="002D7205"/>
    <w:rsid w:val="002E0274"/>
    <w:rsid w:val="002E1E0D"/>
    <w:rsid w:val="002E5AEE"/>
    <w:rsid w:val="002E73C1"/>
    <w:rsid w:val="002F0427"/>
    <w:rsid w:val="002F26E0"/>
    <w:rsid w:val="002F4CF2"/>
    <w:rsid w:val="002F77D7"/>
    <w:rsid w:val="00301DEF"/>
    <w:rsid w:val="00302698"/>
    <w:rsid w:val="00303779"/>
    <w:rsid w:val="003052AC"/>
    <w:rsid w:val="003065EC"/>
    <w:rsid w:val="003147E6"/>
    <w:rsid w:val="00314966"/>
    <w:rsid w:val="00320274"/>
    <w:rsid w:val="00320433"/>
    <w:rsid w:val="00325B76"/>
    <w:rsid w:val="00327265"/>
    <w:rsid w:val="00330D0A"/>
    <w:rsid w:val="00333131"/>
    <w:rsid w:val="00335920"/>
    <w:rsid w:val="003373C0"/>
    <w:rsid w:val="00340E4D"/>
    <w:rsid w:val="003455E1"/>
    <w:rsid w:val="00346352"/>
    <w:rsid w:val="00351F27"/>
    <w:rsid w:val="00353396"/>
    <w:rsid w:val="00360872"/>
    <w:rsid w:val="00361CCA"/>
    <w:rsid w:val="00362533"/>
    <w:rsid w:val="003628A5"/>
    <w:rsid w:val="0036297B"/>
    <w:rsid w:val="00363D0E"/>
    <w:rsid w:val="00364640"/>
    <w:rsid w:val="00364910"/>
    <w:rsid w:val="00373015"/>
    <w:rsid w:val="003734E6"/>
    <w:rsid w:val="00374AEA"/>
    <w:rsid w:val="00376447"/>
    <w:rsid w:val="003773D8"/>
    <w:rsid w:val="00380A35"/>
    <w:rsid w:val="00380D9C"/>
    <w:rsid w:val="00382624"/>
    <w:rsid w:val="00384C21"/>
    <w:rsid w:val="00384E93"/>
    <w:rsid w:val="00385A16"/>
    <w:rsid w:val="00385ABC"/>
    <w:rsid w:val="00385C92"/>
    <w:rsid w:val="00386425"/>
    <w:rsid w:val="0039023C"/>
    <w:rsid w:val="003908B3"/>
    <w:rsid w:val="00391078"/>
    <w:rsid w:val="003912EE"/>
    <w:rsid w:val="00393BA7"/>
    <w:rsid w:val="00394C58"/>
    <w:rsid w:val="0039502E"/>
    <w:rsid w:val="0039539A"/>
    <w:rsid w:val="003A1401"/>
    <w:rsid w:val="003A1FEA"/>
    <w:rsid w:val="003A3E9F"/>
    <w:rsid w:val="003A4BB7"/>
    <w:rsid w:val="003A7EAC"/>
    <w:rsid w:val="003B0044"/>
    <w:rsid w:val="003B2973"/>
    <w:rsid w:val="003B2B22"/>
    <w:rsid w:val="003C1792"/>
    <w:rsid w:val="003C72C4"/>
    <w:rsid w:val="003C738D"/>
    <w:rsid w:val="003D266D"/>
    <w:rsid w:val="003D4B08"/>
    <w:rsid w:val="003D4B34"/>
    <w:rsid w:val="003D56A3"/>
    <w:rsid w:val="003D60B9"/>
    <w:rsid w:val="003D73B2"/>
    <w:rsid w:val="003E21BE"/>
    <w:rsid w:val="003E2731"/>
    <w:rsid w:val="003E28BC"/>
    <w:rsid w:val="003E5DBA"/>
    <w:rsid w:val="003E62AC"/>
    <w:rsid w:val="003E6834"/>
    <w:rsid w:val="003E6A6E"/>
    <w:rsid w:val="003E6BAF"/>
    <w:rsid w:val="003F0282"/>
    <w:rsid w:val="003F06C6"/>
    <w:rsid w:val="003F3A8D"/>
    <w:rsid w:val="003F3D1A"/>
    <w:rsid w:val="003F4039"/>
    <w:rsid w:val="003F426A"/>
    <w:rsid w:val="003F4ABA"/>
    <w:rsid w:val="003F4C34"/>
    <w:rsid w:val="003F5576"/>
    <w:rsid w:val="003F575E"/>
    <w:rsid w:val="003F5C10"/>
    <w:rsid w:val="003F5D58"/>
    <w:rsid w:val="003F6653"/>
    <w:rsid w:val="003F670A"/>
    <w:rsid w:val="003F6E5E"/>
    <w:rsid w:val="003F7E7A"/>
    <w:rsid w:val="00401DE7"/>
    <w:rsid w:val="004037E9"/>
    <w:rsid w:val="00406D10"/>
    <w:rsid w:val="004125F3"/>
    <w:rsid w:val="00413508"/>
    <w:rsid w:val="00414679"/>
    <w:rsid w:val="00415094"/>
    <w:rsid w:val="00415BD8"/>
    <w:rsid w:val="004217E7"/>
    <w:rsid w:val="00421B12"/>
    <w:rsid w:val="00422758"/>
    <w:rsid w:val="0042326D"/>
    <w:rsid w:val="004251A3"/>
    <w:rsid w:val="00425A77"/>
    <w:rsid w:val="00425B4B"/>
    <w:rsid w:val="00425E2E"/>
    <w:rsid w:val="0042637F"/>
    <w:rsid w:val="004268A9"/>
    <w:rsid w:val="004274D6"/>
    <w:rsid w:val="00427B2B"/>
    <w:rsid w:val="0043039E"/>
    <w:rsid w:val="004306D2"/>
    <w:rsid w:val="004329A2"/>
    <w:rsid w:val="00432AF6"/>
    <w:rsid w:val="00433E06"/>
    <w:rsid w:val="00442278"/>
    <w:rsid w:val="0044390A"/>
    <w:rsid w:val="00443C93"/>
    <w:rsid w:val="0044463E"/>
    <w:rsid w:val="0044744C"/>
    <w:rsid w:val="00452007"/>
    <w:rsid w:val="004568CB"/>
    <w:rsid w:val="00460C9A"/>
    <w:rsid w:val="00460FF6"/>
    <w:rsid w:val="004615D6"/>
    <w:rsid w:val="00463AAE"/>
    <w:rsid w:val="00463DE0"/>
    <w:rsid w:val="0046554E"/>
    <w:rsid w:val="00465D96"/>
    <w:rsid w:val="004674DE"/>
    <w:rsid w:val="00467775"/>
    <w:rsid w:val="00470364"/>
    <w:rsid w:val="0047270D"/>
    <w:rsid w:val="00472FED"/>
    <w:rsid w:val="00474EC2"/>
    <w:rsid w:val="0047586C"/>
    <w:rsid w:val="00475B0E"/>
    <w:rsid w:val="00476DA7"/>
    <w:rsid w:val="0048061A"/>
    <w:rsid w:val="00480CC9"/>
    <w:rsid w:val="00493623"/>
    <w:rsid w:val="004965BC"/>
    <w:rsid w:val="004966D8"/>
    <w:rsid w:val="00496C23"/>
    <w:rsid w:val="004973C2"/>
    <w:rsid w:val="0049747D"/>
    <w:rsid w:val="00497580"/>
    <w:rsid w:val="0049780E"/>
    <w:rsid w:val="004A0415"/>
    <w:rsid w:val="004A1323"/>
    <w:rsid w:val="004A434C"/>
    <w:rsid w:val="004A4AA8"/>
    <w:rsid w:val="004A672D"/>
    <w:rsid w:val="004B02E6"/>
    <w:rsid w:val="004B06B6"/>
    <w:rsid w:val="004B13F6"/>
    <w:rsid w:val="004B1FA3"/>
    <w:rsid w:val="004B3ABE"/>
    <w:rsid w:val="004B4425"/>
    <w:rsid w:val="004B46B1"/>
    <w:rsid w:val="004B5D9C"/>
    <w:rsid w:val="004B64EE"/>
    <w:rsid w:val="004B705F"/>
    <w:rsid w:val="004C4946"/>
    <w:rsid w:val="004C55CA"/>
    <w:rsid w:val="004C5FAF"/>
    <w:rsid w:val="004D1D36"/>
    <w:rsid w:val="004D2B56"/>
    <w:rsid w:val="004E10A9"/>
    <w:rsid w:val="004E18B9"/>
    <w:rsid w:val="004E3E82"/>
    <w:rsid w:val="004E3E90"/>
    <w:rsid w:val="004E4CA5"/>
    <w:rsid w:val="004E4EE9"/>
    <w:rsid w:val="004F32EA"/>
    <w:rsid w:val="004F46EA"/>
    <w:rsid w:val="004F6381"/>
    <w:rsid w:val="004F7030"/>
    <w:rsid w:val="004F7AB7"/>
    <w:rsid w:val="004F7C03"/>
    <w:rsid w:val="00503A94"/>
    <w:rsid w:val="005040E8"/>
    <w:rsid w:val="005042AC"/>
    <w:rsid w:val="00504599"/>
    <w:rsid w:val="005103B3"/>
    <w:rsid w:val="0051464C"/>
    <w:rsid w:val="005150BC"/>
    <w:rsid w:val="00515B38"/>
    <w:rsid w:val="00516502"/>
    <w:rsid w:val="00516BBC"/>
    <w:rsid w:val="00516C25"/>
    <w:rsid w:val="0051756D"/>
    <w:rsid w:val="00530452"/>
    <w:rsid w:val="005315C3"/>
    <w:rsid w:val="0053213C"/>
    <w:rsid w:val="00532667"/>
    <w:rsid w:val="005375C9"/>
    <w:rsid w:val="005402B7"/>
    <w:rsid w:val="0054122C"/>
    <w:rsid w:val="00541479"/>
    <w:rsid w:val="00543B8A"/>
    <w:rsid w:val="00545D35"/>
    <w:rsid w:val="005517C8"/>
    <w:rsid w:val="00555263"/>
    <w:rsid w:val="005554DA"/>
    <w:rsid w:val="00572A8B"/>
    <w:rsid w:val="0057536D"/>
    <w:rsid w:val="00575EE5"/>
    <w:rsid w:val="005818C3"/>
    <w:rsid w:val="00581BC5"/>
    <w:rsid w:val="005835EE"/>
    <w:rsid w:val="00584677"/>
    <w:rsid w:val="00584C0B"/>
    <w:rsid w:val="00586D7A"/>
    <w:rsid w:val="00587106"/>
    <w:rsid w:val="005878ED"/>
    <w:rsid w:val="0058797F"/>
    <w:rsid w:val="00587B28"/>
    <w:rsid w:val="00587B9F"/>
    <w:rsid w:val="00593D7C"/>
    <w:rsid w:val="005951D7"/>
    <w:rsid w:val="005956C0"/>
    <w:rsid w:val="00596764"/>
    <w:rsid w:val="00596875"/>
    <w:rsid w:val="005A0910"/>
    <w:rsid w:val="005A6E55"/>
    <w:rsid w:val="005A70E1"/>
    <w:rsid w:val="005B541E"/>
    <w:rsid w:val="005B621B"/>
    <w:rsid w:val="005B673F"/>
    <w:rsid w:val="005B68A4"/>
    <w:rsid w:val="005B6B1E"/>
    <w:rsid w:val="005B767B"/>
    <w:rsid w:val="005B7EF0"/>
    <w:rsid w:val="005C4CB2"/>
    <w:rsid w:val="005C530E"/>
    <w:rsid w:val="005C5690"/>
    <w:rsid w:val="005C73DF"/>
    <w:rsid w:val="005D2948"/>
    <w:rsid w:val="005D43CC"/>
    <w:rsid w:val="005D5204"/>
    <w:rsid w:val="005D62EF"/>
    <w:rsid w:val="005E2117"/>
    <w:rsid w:val="005E21EA"/>
    <w:rsid w:val="005E34F3"/>
    <w:rsid w:val="005E4EB1"/>
    <w:rsid w:val="005E5483"/>
    <w:rsid w:val="005E56C5"/>
    <w:rsid w:val="005E59A9"/>
    <w:rsid w:val="005E61C4"/>
    <w:rsid w:val="005F03F8"/>
    <w:rsid w:val="005F2176"/>
    <w:rsid w:val="005F2F68"/>
    <w:rsid w:val="005F67C5"/>
    <w:rsid w:val="005F7635"/>
    <w:rsid w:val="006018C5"/>
    <w:rsid w:val="0060208D"/>
    <w:rsid w:val="006025DA"/>
    <w:rsid w:val="006042EE"/>
    <w:rsid w:val="00604386"/>
    <w:rsid w:val="00604949"/>
    <w:rsid w:val="00605C97"/>
    <w:rsid w:val="006063A3"/>
    <w:rsid w:val="00607007"/>
    <w:rsid w:val="00607073"/>
    <w:rsid w:val="00607C8B"/>
    <w:rsid w:val="006112DD"/>
    <w:rsid w:val="00613586"/>
    <w:rsid w:val="00614136"/>
    <w:rsid w:val="006143B3"/>
    <w:rsid w:val="00616686"/>
    <w:rsid w:val="00621DDE"/>
    <w:rsid w:val="006221C2"/>
    <w:rsid w:val="00623736"/>
    <w:rsid w:val="0062583C"/>
    <w:rsid w:val="00626CC8"/>
    <w:rsid w:val="00627FB1"/>
    <w:rsid w:val="00630DF3"/>
    <w:rsid w:val="00631531"/>
    <w:rsid w:val="006366F0"/>
    <w:rsid w:val="006378F9"/>
    <w:rsid w:val="006437FF"/>
    <w:rsid w:val="006469B8"/>
    <w:rsid w:val="00650ABD"/>
    <w:rsid w:val="0065164D"/>
    <w:rsid w:val="006542CD"/>
    <w:rsid w:val="0065681C"/>
    <w:rsid w:val="00657551"/>
    <w:rsid w:val="0065758B"/>
    <w:rsid w:val="0065775B"/>
    <w:rsid w:val="006617C3"/>
    <w:rsid w:val="00662A06"/>
    <w:rsid w:val="00663225"/>
    <w:rsid w:val="006633E3"/>
    <w:rsid w:val="00663F24"/>
    <w:rsid w:val="00664F54"/>
    <w:rsid w:val="00666AED"/>
    <w:rsid w:val="00666BF5"/>
    <w:rsid w:val="00674B12"/>
    <w:rsid w:val="006766BA"/>
    <w:rsid w:val="00676779"/>
    <w:rsid w:val="00676C75"/>
    <w:rsid w:val="00677926"/>
    <w:rsid w:val="00677CF9"/>
    <w:rsid w:val="00680C0E"/>
    <w:rsid w:val="00682826"/>
    <w:rsid w:val="00682FA7"/>
    <w:rsid w:val="006852F5"/>
    <w:rsid w:val="00685E05"/>
    <w:rsid w:val="00690C02"/>
    <w:rsid w:val="00693434"/>
    <w:rsid w:val="00693E37"/>
    <w:rsid w:val="00695347"/>
    <w:rsid w:val="006963A3"/>
    <w:rsid w:val="00697C74"/>
    <w:rsid w:val="006A0BEE"/>
    <w:rsid w:val="006A2C3B"/>
    <w:rsid w:val="006A31EB"/>
    <w:rsid w:val="006A39E6"/>
    <w:rsid w:val="006A4FD5"/>
    <w:rsid w:val="006A7294"/>
    <w:rsid w:val="006A7CB9"/>
    <w:rsid w:val="006B091B"/>
    <w:rsid w:val="006B31D3"/>
    <w:rsid w:val="006B3C73"/>
    <w:rsid w:val="006B3EEC"/>
    <w:rsid w:val="006B5615"/>
    <w:rsid w:val="006B74E9"/>
    <w:rsid w:val="006B7EB6"/>
    <w:rsid w:val="006C0659"/>
    <w:rsid w:val="006C4773"/>
    <w:rsid w:val="006C5A10"/>
    <w:rsid w:val="006C5A1D"/>
    <w:rsid w:val="006C7040"/>
    <w:rsid w:val="006C725B"/>
    <w:rsid w:val="006D05A6"/>
    <w:rsid w:val="006D0885"/>
    <w:rsid w:val="006D17F8"/>
    <w:rsid w:val="006D2737"/>
    <w:rsid w:val="006D27B0"/>
    <w:rsid w:val="006D51DB"/>
    <w:rsid w:val="006D656B"/>
    <w:rsid w:val="006D7115"/>
    <w:rsid w:val="006E36A4"/>
    <w:rsid w:val="006E3EEF"/>
    <w:rsid w:val="006E65CC"/>
    <w:rsid w:val="006E6B94"/>
    <w:rsid w:val="006E75BB"/>
    <w:rsid w:val="006E7DC5"/>
    <w:rsid w:val="006F1587"/>
    <w:rsid w:val="006F162E"/>
    <w:rsid w:val="006F19F3"/>
    <w:rsid w:val="006F1CA6"/>
    <w:rsid w:val="006F25F0"/>
    <w:rsid w:val="006F2865"/>
    <w:rsid w:val="006F2985"/>
    <w:rsid w:val="006F6AAB"/>
    <w:rsid w:val="006F7158"/>
    <w:rsid w:val="006F7908"/>
    <w:rsid w:val="0070032E"/>
    <w:rsid w:val="00700B27"/>
    <w:rsid w:val="00701717"/>
    <w:rsid w:val="00701F67"/>
    <w:rsid w:val="007023E5"/>
    <w:rsid w:val="0070291D"/>
    <w:rsid w:val="00704AD6"/>
    <w:rsid w:val="0070603C"/>
    <w:rsid w:val="00706415"/>
    <w:rsid w:val="00707182"/>
    <w:rsid w:val="00707DA2"/>
    <w:rsid w:val="00711631"/>
    <w:rsid w:val="007140B3"/>
    <w:rsid w:val="00714B5F"/>
    <w:rsid w:val="00716D33"/>
    <w:rsid w:val="007203D1"/>
    <w:rsid w:val="00721430"/>
    <w:rsid w:val="00722163"/>
    <w:rsid w:val="00722AC2"/>
    <w:rsid w:val="0072758B"/>
    <w:rsid w:val="00732161"/>
    <w:rsid w:val="00732485"/>
    <w:rsid w:val="00732C73"/>
    <w:rsid w:val="0073453E"/>
    <w:rsid w:val="00736971"/>
    <w:rsid w:val="007402CB"/>
    <w:rsid w:val="007445C8"/>
    <w:rsid w:val="0074539E"/>
    <w:rsid w:val="00746A08"/>
    <w:rsid w:val="00746F5D"/>
    <w:rsid w:val="007478A3"/>
    <w:rsid w:val="00750882"/>
    <w:rsid w:val="007515AB"/>
    <w:rsid w:val="007525F6"/>
    <w:rsid w:val="00761E6F"/>
    <w:rsid w:val="00763B1B"/>
    <w:rsid w:val="007653C3"/>
    <w:rsid w:val="00765D75"/>
    <w:rsid w:val="00772576"/>
    <w:rsid w:val="00773E00"/>
    <w:rsid w:val="00774712"/>
    <w:rsid w:val="007800D9"/>
    <w:rsid w:val="0078036A"/>
    <w:rsid w:val="00781977"/>
    <w:rsid w:val="007824B2"/>
    <w:rsid w:val="00783237"/>
    <w:rsid w:val="00783487"/>
    <w:rsid w:val="00783FA0"/>
    <w:rsid w:val="007861B9"/>
    <w:rsid w:val="0078620A"/>
    <w:rsid w:val="00790F07"/>
    <w:rsid w:val="00791C1E"/>
    <w:rsid w:val="00794690"/>
    <w:rsid w:val="00795B3B"/>
    <w:rsid w:val="0079763B"/>
    <w:rsid w:val="007A019B"/>
    <w:rsid w:val="007A0EA0"/>
    <w:rsid w:val="007A3A4D"/>
    <w:rsid w:val="007A40D8"/>
    <w:rsid w:val="007A4F28"/>
    <w:rsid w:val="007A6259"/>
    <w:rsid w:val="007A67D2"/>
    <w:rsid w:val="007B117F"/>
    <w:rsid w:val="007B3350"/>
    <w:rsid w:val="007B5AE8"/>
    <w:rsid w:val="007B5E70"/>
    <w:rsid w:val="007B6132"/>
    <w:rsid w:val="007B7997"/>
    <w:rsid w:val="007C218D"/>
    <w:rsid w:val="007C4004"/>
    <w:rsid w:val="007D235A"/>
    <w:rsid w:val="007D356C"/>
    <w:rsid w:val="007D3A7A"/>
    <w:rsid w:val="007D60A0"/>
    <w:rsid w:val="007D6A0B"/>
    <w:rsid w:val="007E1B4F"/>
    <w:rsid w:val="007E4675"/>
    <w:rsid w:val="007E56A1"/>
    <w:rsid w:val="007E79B1"/>
    <w:rsid w:val="007F0546"/>
    <w:rsid w:val="007F0682"/>
    <w:rsid w:val="007F09B8"/>
    <w:rsid w:val="007F0B2B"/>
    <w:rsid w:val="007F5862"/>
    <w:rsid w:val="007F73C8"/>
    <w:rsid w:val="00804667"/>
    <w:rsid w:val="0080467E"/>
    <w:rsid w:val="00804F5D"/>
    <w:rsid w:val="0080629B"/>
    <w:rsid w:val="00810E08"/>
    <w:rsid w:val="00810ED8"/>
    <w:rsid w:val="008110BC"/>
    <w:rsid w:val="0081147F"/>
    <w:rsid w:val="0081179B"/>
    <w:rsid w:val="0081184B"/>
    <w:rsid w:val="00811A29"/>
    <w:rsid w:val="00816801"/>
    <w:rsid w:val="008214CA"/>
    <w:rsid w:val="0082233C"/>
    <w:rsid w:val="00825A3F"/>
    <w:rsid w:val="008267B1"/>
    <w:rsid w:val="008317D8"/>
    <w:rsid w:val="00831E25"/>
    <w:rsid w:val="00832DD8"/>
    <w:rsid w:val="0083562F"/>
    <w:rsid w:val="00837B51"/>
    <w:rsid w:val="00842E09"/>
    <w:rsid w:val="008446C2"/>
    <w:rsid w:val="008446EA"/>
    <w:rsid w:val="0084655F"/>
    <w:rsid w:val="00846CC8"/>
    <w:rsid w:val="00850522"/>
    <w:rsid w:val="00850C47"/>
    <w:rsid w:val="0085179A"/>
    <w:rsid w:val="0085269A"/>
    <w:rsid w:val="00852800"/>
    <w:rsid w:val="008528F7"/>
    <w:rsid w:val="00853C01"/>
    <w:rsid w:val="00853F95"/>
    <w:rsid w:val="00854E64"/>
    <w:rsid w:val="008577FD"/>
    <w:rsid w:val="00857971"/>
    <w:rsid w:val="00860A6B"/>
    <w:rsid w:val="00860D5B"/>
    <w:rsid w:val="008617A5"/>
    <w:rsid w:val="00862513"/>
    <w:rsid w:val="008633A1"/>
    <w:rsid w:val="00863CF3"/>
    <w:rsid w:val="008641C9"/>
    <w:rsid w:val="008647B6"/>
    <w:rsid w:val="00865FCF"/>
    <w:rsid w:val="00867738"/>
    <w:rsid w:val="00873B6C"/>
    <w:rsid w:val="00875A38"/>
    <w:rsid w:val="0088129E"/>
    <w:rsid w:val="008820B7"/>
    <w:rsid w:val="00883EA4"/>
    <w:rsid w:val="008856FB"/>
    <w:rsid w:val="00886BEB"/>
    <w:rsid w:val="00886C6C"/>
    <w:rsid w:val="008905FF"/>
    <w:rsid w:val="0089474E"/>
    <w:rsid w:val="00894DF4"/>
    <w:rsid w:val="00894E80"/>
    <w:rsid w:val="00895195"/>
    <w:rsid w:val="008952F3"/>
    <w:rsid w:val="008A0C01"/>
    <w:rsid w:val="008A0F42"/>
    <w:rsid w:val="008A0FCF"/>
    <w:rsid w:val="008A370A"/>
    <w:rsid w:val="008A3A4D"/>
    <w:rsid w:val="008A49AB"/>
    <w:rsid w:val="008B0476"/>
    <w:rsid w:val="008B2984"/>
    <w:rsid w:val="008B3963"/>
    <w:rsid w:val="008B492D"/>
    <w:rsid w:val="008B6628"/>
    <w:rsid w:val="008B7483"/>
    <w:rsid w:val="008B74C1"/>
    <w:rsid w:val="008B74F4"/>
    <w:rsid w:val="008C0169"/>
    <w:rsid w:val="008C07E9"/>
    <w:rsid w:val="008C0B53"/>
    <w:rsid w:val="008C3484"/>
    <w:rsid w:val="008C3838"/>
    <w:rsid w:val="008C3CE0"/>
    <w:rsid w:val="008C56E1"/>
    <w:rsid w:val="008C673C"/>
    <w:rsid w:val="008C7AE5"/>
    <w:rsid w:val="008D0AF6"/>
    <w:rsid w:val="008D1D57"/>
    <w:rsid w:val="008D7C74"/>
    <w:rsid w:val="008E276B"/>
    <w:rsid w:val="008E328C"/>
    <w:rsid w:val="008E441F"/>
    <w:rsid w:val="008E502D"/>
    <w:rsid w:val="008F193A"/>
    <w:rsid w:val="008F7DA5"/>
    <w:rsid w:val="00901003"/>
    <w:rsid w:val="00901872"/>
    <w:rsid w:val="00910C04"/>
    <w:rsid w:val="009123E1"/>
    <w:rsid w:val="009172B1"/>
    <w:rsid w:val="0092076E"/>
    <w:rsid w:val="00920F5F"/>
    <w:rsid w:val="0092144C"/>
    <w:rsid w:val="00921AAD"/>
    <w:rsid w:val="009248ED"/>
    <w:rsid w:val="0092530B"/>
    <w:rsid w:val="00927220"/>
    <w:rsid w:val="00927453"/>
    <w:rsid w:val="00927E64"/>
    <w:rsid w:val="00930E5B"/>
    <w:rsid w:val="009310F6"/>
    <w:rsid w:val="00931E6A"/>
    <w:rsid w:val="00932A09"/>
    <w:rsid w:val="00932CFB"/>
    <w:rsid w:val="00933014"/>
    <w:rsid w:val="009335EE"/>
    <w:rsid w:val="0093377E"/>
    <w:rsid w:val="00933FC8"/>
    <w:rsid w:val="0093650E"/>
    <w:rsid w:val="009368F0"/>
    <w:rsid w:val="00940404"/>
    <w:rsid w:val="00941DBE"/>
    <w:rsid w:val="00942543"/>
    <w:rsid w:val="00945190"/>
    <w:rsid w:val="00950975"/>
    <w:rsid w:val="009511F7"/>
    <w:rsid w:val="0095204B"/>
    <w:rsid w:val="00952EC4"/>
    <w:rsid w:val="00953739"/>
    <w:rsid w:val="00954633"/>
    <w:rsid w:val="00954B88"/>
    <w:rsid w:val="00956796"/>
    <w:rsid w:val="0095701E"/>
    <w:rsid w:val="00962173"/>
    <w:rsid w:val="009667AE"/>
    <w:rsid w:val="00970310"/>
    <w:rsid w:val="00970624"/>
    <w:rsid w:val="009727D3"/>
    <w:rsid w:val="0097419A"/>
    <w:rsid w:val="00975591"/>
    <w:rsid w:val="009826CD"/>
    <w:rsid w:val="0098334E"/>
    <w:rsid w:val="00984937"/>
    <w:rsid w:val="00985468"/>
    <w:rsid w:val="0098592E"/>
    <w:rsid w:val="00985E51"/>
    <w:rsid w:val="00985F43"/>
    <w:rsid w:val="009861EA"/>
    <w:rsid w:val="00990490"/>
    <w:rsid w:val="00990E69"/>
    <w:rsid w:val="00991168"/>
    <w:rsid w:val="009924E1"/>
    <w:rsid w:val="009932CA"/>
    <w:rsid w:val="00994CAA"/>
    <w:rsid w:val="00994E00"/>
    <w:rsid w:val="009963AE"/>
    <w:rsid w:val="00997765"/>
    <w:rsid w:val="009A0774"/>
    <w:rsid w:val="009A29BE"/>
    <w:rsid w:val="009A323A"/>
    <w:rsid w:val="009A3B4B"/>
    <w:rsid w:val="009A3E30"/>
    <w:rsid w:val="009A5D0B"/>
    <w:rsid w:val="009A677A"/>
    <w:rsid w:val="009B08DA"/>
    <w:rsid w:val="009B141C"/>
    <w:rsid w:val="009B1C68"/>
    <w:rsid w:val="009B72DB"/>
    <w:rsid w:val="009C1262"/>
    <w:rsid w:val="009C32AB"/>
    <w:rsid w:val="009C4E01"/>
    <w:rsid w:val="009C52B7"/>
    <w:rsid w:val="009D03A2"/>
    <w:rsid w:val="009D1A41"/>
    <w:rsid w:val="009D1EBD"/>
    <w:rsid w:val="009D4248"/>
    <w:rsid w:val="009D684A"/>
    <w:rsid w:val="009E1BD2"/>
    <w:rsid w:val="009E2EF5"/>
    <w:rsid w:val="009E4137"/>
    <w:rsid w:val="009E5EEE"/>
    <w:rsid w:val="009E67ED"/>
    <w:rsid w:val="009F1CD6"/>
    <w:rsid w:val="009F53AC"/>
    <w:rsid w:val="009F69D5"/>
    <w:rsid w:val="009F7FB4"/>
    <w:rsid w:val="00A01297"/>
    <w:rsid w:val="00A01336"/>
    <w:rsid w:val="00A01AB9"/>
    <w:rsid w:val="00A01B2A"/>
    <w:rsid w:val="00A02672"/>
    <w:rsid w:val="00A07C10"/>
    <w:rsid w:val="00A11BFF"/>
    <w:rsid w:val="00A15DEF"/>
    <w:rsid w:val="00A179AC"/>
    <w:rsid w:val="00A17EC3"/>
    <w:rsid w:val="00A27AF4"/>
    <w:rsid w:val="00A31058"/>
    <w:rsid w:val="00A32CA0"/>
    <w:rsid w:val="00A3313C"/>
    <w:rsid w:val="00A334E8"/>
    <w:rsid w:val="00A339C1"/>
    <w:rsid w:val="00A33F20"/>
    <w:rsid w:val="00A34C70"/>
    <w:rsid w:val="00A35B49"/>
    <w:rsid w:val="00A36EE4"/>
    <w:rsid w:val="00A43EC1"/>
    <w:rsid w:val="00A45F2A"/>
    <w:rsid w:val="00A46F15"/>
    <w:rsid w:val="00A47364"/>
    <w:rsid w:val="00A4770B"/>
    <w:rsid w:val="00A47801"/>
    <w:rsid w:val="00A52682"/>
    <w:rsid w:val="00A54F72"/>
    <w:rsid w:val="00A55270"/>
    <w:rsid w:val="00A55EB2"/>
    <w:rsid w:val="00A5696E"/>
    <w:rsid w:val="00A56D04"/>
    <w:rsid w:val="00A57026"/>
    <w:rsid w:val="00A61711"/>
    <w:rsid w:val="00A61FAE"/>
    <w:rsid w:val="00A622BD"/>
    <w:rsid w:val="00A63741"/>
    <w:rsid w:val="00A63795"/>
    <w:rsid w:val="00A63D8A"/>
    <w:rsid w:val="00A67F87"/>
    <w:rsid w:val="00A71624"/>
    <w:rsid w:val="00A72C03"/>
    <w:rsid w:val="00A739AA"/>
    <w:rsid w:val="00A73B09"/>
    <w:rsid w:val="00A742F5"/>
    <w:rsid w:val="00A74D6C"/>
    <w:rsid w:val="00A82C37"/>
    <w:rsid w:val="00A8642B"/>
    <w:rsid w:val="00A90898"/>
    <w:rsid w:val="00A909D7"/>
    <w:rsid w:val="00A912E7"/>
    <w:rsid w:val="00A92753"/>
    <w:rsid w:val="00A930E5"/>
    <w:rsid w:val="00A969F2"/>
    <w:rsid w:val="00AA00D0"/>
    <w:rsid w:val="00AA2ECE"/>
    <w:rsid w:val="00AA385F"/>
    <w:rsid w:val="00AA41CA"/>
    <w:rsid w:val="00AA464A"/>
    <w:rsid w:val="00AA4935"/>
    <w:rsid w:val="00AA5055"/>
    <w:rsid w:val="00AA5169"/>
    <w:rsid w:val="00AA5310"/>
    <w:rsid w:val="00AB3607"/>
    <w:rsid w:val="00AB4754"/>
    <w:rsid w:val="00AC061E"/>
    <w:rsid w:val="00AC1B71"/>
    <w:rsid w:val="00AC1B94"/>
    <w:rsid w:val="00AC1BDA"/>
    <w:rsid w:val="00AC685B"/>
    <w:rsid w:val="00AC6A4C"/>
    <w:rsid w:val="00AC6E72"/>
    <w:rsid w:val="00AD319D"/>
    <w:rsid w:val="00AD3616"/>
    <w:rsid w:val="00AD5DF1"/>
    <w:rsid w:val="00AD6BD6"/>
    <w:rsid w:val="00AD723D"/>
    <w:rsid w:val="00AE646D"/>
    <w:rsid w:val="00AF200D"/>
    <w:rsid w:val="00AF21AF"/>
    <w:rsid w:val="00AF5C5C"/>
    <w:rsid w:val="00AF667C"/>
    <w:rsid w:val="00AF7E2B"/>
    <w:rsid w:val="00B004DF"/>
    <w:rsid w:val="00B012FA"/>
    <w:rsid w:val="00B035F4"/>
    <w:rsid w:val="00B03BE3"/>
    <w:rsid w:val="00B064DA"/>
    <w:rsid w:val="00B07EF4"/>
    <w:rsid w:val="00B11054"/>
    <w:rsid w:val="00B12303"/>
    <w:rsid w:val="00B126B4"/>
    <w:rsid w:val="00B13B25"/>
    <w:rsid w:val="00B176DE"/>
    <w:rsid w:val="00B21040"/>
    <w:rsid w:val="00B21C10"/>
    <w:rsid w:val="00B2227D"/>
    <w:rsid w:val="00B2249A"/>
    <w:rsid w:val="00B22990"/>
    <w:rsid w:val="00B233CF"/>
    <w:rsid w:val="00B26028"/>
    <w:rsid w:val="00B26CB1"/>
    <w:rsid w:val="00B26D9B"/>
    <w:rsid w:val="00B27991"/>
    <w:rsid w:val="00B313F4"/>
    <w:rsid w:val="00B31F65"/>
    <w:rsid w:val="00B340CA"/>
    <w:rsid w:val="00B3448B"/>
    <w:rsid w:val="00B34913"/>
    <w:rsid w:val="00B35427"/>
    <w:rsid w:val="00B36B60"/>
    <w:rsid w:val="00B431CD"/>
    <w:rsid w:val="00B50C43"/>
    <w:rsid w:val="00B52107"/>
    <w:rsid w:val="00B52A01"/>
    <w:rsid w:val="00B532C2"/>
    <w:rsid w:val="00B56F5E"/>
    <w:rsid w:val="00B63170"/>
    <w:rsid w:val="00B63571"/>
    <w:rsid w:val="00B64DDC"/>
    <w:rsid w:val="00B6514A"/>
    <w:rsid w:val="00B70201"/>
    <w:rsid w:val="00B75B9E"/>
    <w:rsid w:val="00B815FA"/>
    <w:rsid w:val="00B82898"/>
    <w:rsid w:val="00B832B8"/>
    <w:rsid w:val="00B8381A"/>
    <w:rsid w:val="00B84A2D"/>
    <w:rsid w:val="00B84FA3"/>
    <w:rsid w:val="00B866D4"/>
    <w:rsid w:val="00B868DB"/>
    <w:rsid w:val="00B9077E"/>
    <w:rsid w:val="00B913BB"/>
    <w:rsid w:val="00B920CC"/>
    <w:rsid w:val="00B923C1"/>
    <w:rsid w:val="00B946E7"/>
    <w:rsid w:val="00B964E0"/>
    <w:rsid w:val="00B970EF"/>
    <w:rsid w:val="00B97D8E"/>
    <w:rsid w:val="00BA13F9"/>
    <w:rsid w:val="00BA15B2"/>
    <w:rsid w:val="00BA2FBF"/>
    <w:rsid w:val="00BA384B"/>
    <w:rsid w:val="00BA543F"/>
    <w:rsid w:val="00BA5CBD"/>
    <w:rsid w:val="00BA7D8B"/>
    <w:rsid w:val="00BB16F3"/>
    <w:rsid w:val="00BB2E6B"/>
    <w:rsid w:val="00BB53C4"/>
    <w:rsid w:val="00BB543B"/>
    <w:rsid w:val="00BB746B"/>
    <w:rsid w:val="00BC0150"/>
    <w:rsid w:val="00BC0CC4"/>
    <w:rsid w:val="00BC10BD"/>
    <w:rsid w:val="00BC278F"/>
    <w:rsid w:val="00BC36A5"/>
    <w:rsid w:val="00BC5E9D"/>
    <w:rsid w:val="00BC5F7E"/>
    <w:rsid w:val="00BC693C"/>
    <w:rsid w:val="00BC6E01"/>
    <w:rsid w:val="00BC7615"/>
    <w:rsid w:val="00BD00DA"/>
    <w:rsid w:val="00BD1E4D"/>
    <w:rsid w:val="00BD21BF"/>
    <w:rsid w:val="00BD42B4"/>
    <w:rsid w:val="00BD47E4"/>
    <w:rsid w:val="00BD7212"/>
    <w:rsid w:val="00BE3F57"/>
    <w:rsid w:val="00BE486A"/>
    <w:rsid w:val="00BE707B"/>
    <w:rsid w:val="00BE7C87"/>
    <w:rsid w:val="00BF0B83"/>
    <w:rsid w:val="00BF4649"/>
    <w:rsid w:val="00BF55F2"/>
    <w:rsid w:val="00BF5DBC"/>
    <w:rsid w:val="00BF5DD8"/>
    <w:rsid w:val="00BF6521"/>
    <w:rsid w:val="00C000AB"/>
    <w:rsid w:val="00C01E35"/>
    <w:rsid w:val="00C065C5"/>
    <w:rsid w:val="00C07158"/>
    <w:rsid w:val="00C14680"/>
    <w:rsid w:val="00C156A7"/>
    <w:rsid w:val="00C1602C"/>
    <w:rsid w:val="00C17661"/>
    <w:rsid w:val="00C17978"/>
    <w:rsid w:val="00C20118"/>
    <w:rsid w:val="00C22F70"/>
    <w:rsid w:val="00C23E09"/>
    <w:rsid w:val="00C252F9"/>
    <w:rsid w:val="00C2653B"/>
    <w:rsid w:val="00C27CB9"/>
    <w:rsid w:val="00C3032A"/>
    <w:rsid w:val="00C30670"/>
    <w:rsid w:val="00C3124B"/>
    <w:rsid w:val="00C3168F"/>
    <w:rsid w:val="00C31B06"/>
    <w:rsid w:val="00C40EEA"/>
    <w:rsid w:val="00C43E31"/>
    <w:rsid w:val="00C46491"/>
    <w:rsid w:val="00C55616"/>
    <w:rsid w:val="00C63B09"/>
    <w:rsid w:val="00C63B21"/>
    <w:rsid w:val="00C6636F"/>
    <w:rsid w:val="00C7055B"/>
    <w:rsid w:val="00C7479C"/>
    <w:rsid w:val="00C75D9B"/>
    <w:rsid w:val="00C77341"/>
    <w:rsid w:val="00C810D7"/>
    <w:rsid w:val="00C838F9"/>
    <w:rsid w:val="00C84E52"/>
    <w:rsid w:val="00C855FC"/>
    <w:rsid w:val="00C86186"/>
    <w:rsid w:val="00C86CA4"/>
    <w:rsid w:val="00C87FFD"/>
    <w:rsid w:val="00C930DD"/>
    <w:rsid w:val="00C93AA8"/>
    <w:rsid w:val="00C93E09"/>
    <w:rsid w:val="00C94211"/>
    <w:rsid w:val="00C943E3"/>
    <w:rsid w:val="00C95493"/>
    <w:rsid w:val="00C97C5B"/>
    <w:rsid w:val="00CA230C"/>
    <w:rsid w:val="00CA2FCB"/>
    <w:rsid w:val="00CA4B3E"/>
    <w:rsid w:val="00CA5CCD"/>
    <w:rsid w:val="00CA5EE8"/>
    <w:rsid w:val="00CA7410"/>
    <w:rsid w:val="00CA7FDB"/>
    <w:rsid w:val="00CB401E"/>
    <w:rsid w:val="00CB4D6B"/>
    <w:rsid w:val="00CB62D1"/>
    <w:rsid w:val="00CC74E3"/>
    <w:rsid w:val="00CC7DF5"/>
    <w:rsid w:val="00CD0BEE"/>
    <w:rsid w:val="00CD27BA"/>
    <w:rsid w:val="00CD2A68"/>
    <w:rsid w:val="00CD452A"/>
    <w:rsid w:val="00CD4590"/>
    <w:rsid w:val="00CD5A21"/>
    <w:rsid w:val="00CD613D"/>
    <w:rsid w:val="00CD635F"/>
    <w:rsid w:val="00CD7A94"/>
    <w:rsid w:val="00CE20A5"/>
    <w:rsid w:val="00CE2965"/>
    <w:rsid w:val="00CE3EB7"/>
    <w:rsid w:val="00CE5130"/>
    <w:rsid w:val="00CE5704"/>
    <w:rsid w:val="00CE581A"/>
    <w:rsid w:val="00CE5A55"/>
    <w:rsid w:val="00CE5C2A"/>
    <w:rsid w:val="00CE679C"/>
    <w:rsid w:val="00CF0E22"/>
    <w:rsid w:val="00CF206A"/>
    <w:rsid w:val="00CF3154"/>
    <w:rsid w:val="00CF3F9C"/>
    <w:rsid w:val="00CF6134"/>
    <w:rsid w:val="00CF68B4"/>
    <w:rsid w:val="00D006AC"/>
    <w:rsid w:val="00D02BC2"/>
    <w:rsid w:val="00D03D91"/>
    <w:rsid w:val="00D041A1"/>
    <w:rsid w:val="00D044B1"/>
    <w:rsid w:val="00D0474F"/>
    <w:rsid w:val="00D104C7"/>
    <w:rsid w:val="00D10933"/>
    <w:rsid w:val="00D11476"/>
    <w:rsid w:val="00D12D40"/>
    <w:rsid w:val="00D1312D"/>
    <w:rsid w:val="00D1370F"/>
    <w:rsid w:val="00D1426F"/>
    <w:rsid w:val="00D16FFD"/>
    <w:rsid w:val="00D17532"/>
    <w:rsid w:val="00D17D5C"/>
    <w:rsid w:val="00D20128"/>
    <w:rsid w:val="00D215F3"/>
    <w:rsid w:val="00D21864"/>
    <w:rsid w:val="00D23A71"/>
    <w:rsid w:val="00D261B9"/>
    <w:rsid w:val="00D27AD2"/>
    <w:rsid w:val="00D31F95"/>
    <w:rsid w:val="00D34B0B"/>
    <w:rsid w:val="00D34E31"/>
    <w:rsid w:val="00D35F39"/>
    <w:rsid w:val="00D35F88"/>
    <w:rsid w:val="00D437F9"/>
    <w:rsid w:val="00D43EB1"/>
    <w:rsid w:val="00D4536A"/>
    <w:rsid w:val="00D5227F"/>
    <w:rsid w:val="00D542D9"/>
    <w:rsid w:val="00D5604D"/>
    <w:rsid w:val="00D56577"/>
    <w:rsid w:val="00D60A62"/>
    <w:rsid w:val="00D615FB"/>
    <w:rsid w:val="00D622E4"/>
    <w:rsid w:val="00D63B1A"/>
    <w:rsid w:val="00D6407F"/>
    <w:rsid w:val="00D64A3F"/>
    <w:rsid w:val="00D65022"/>
    <w:rsid w:val="00D706B0"/>
    <w:rsid w:val="00D712DE"/>
    <w:rsid w:val="00D72605"/>
    <w:rsid w:val="00D72944"/>
    <w:rsid w:val="00D76CF3"/>
    <w:rsid w:val="00D804F0"/>
    <w:rsid w:val="00D80E92"/>
    <w:rsid w:val="00D83E94"/>
    <w:rsid w:val="00D842CF"/>
    <w:rsid w:val="00D85913"/>
    <w:rsid w:val="00D86014"/>
    <w:rsid w:val="00D94445"/>
    <w:rsid w:val="00D97F1E"/>
    <w:rsid w:val="00DA36F4"/>
    <w:rsid w:val="00DA3FB8"/>
    <w:rsid w:val="00DA5E30"/>
    <w:rsid w:val="00DA70D7"/>
    <w:rsid w:val="00DA7B0D"/>
    <w:rsid w:val="00DB3138"/>
    <w:rsid w:val="00DB3875"/>
    <w:rsid w:val="00DC1D32"/>
    <w:rsid w:val="00DD4313"/>
    <w:rsid w:val="00DD5CD4"/>
    <w:rsid w:val="00DD5E92"/>
    <w:rsid w:val="00DD6434"/>
    <w:rsid w:val="00DD74B1"/>
    <w:rsid w:val="00DE0BE0"/>
    <w:rsid w:val="00DE1BBB"/>
    <w:rsid w:val="00DE4B04"/>
    <w:rsid w:val="00DF7023"/>
    <w:rsid w:val="00E0076C"/>
    <w:rsid w:val="00E01AD7"/>
    <w:rsid w:val="00E04977"/>
    <w:rsid w:val="00E04C2C"/>
    <w:rsid w:val="00E05D7A"/>
    <w:rsid w:val="00E068D0"/>
    <w:rsid w:val="00E07360"/>
    <w:rsid w:val="00E07DF3"/>
    <w:rsid w:val="00E10214"/>
    <w:rsid w:val="00E10483"/>
    <w:rsid w:val="00E1109A"/>
    <w:rsid w:val="00E145E6"/>
    <w:rsid w:val="00E15715"/>
    <w:rsid w:val="00E20AD8"/>
    <w:rsid w:val="00E23FCA"/>
    <w:rsid w:val="00E27B72"/>
    <w:rsid w:val="00E27F4D"/>
    <w:rsid w:val="00E31DE9"/>
    <w:rsid w:val="00E3317F"/>
    <w:rsid w:val="00E356EC"/>
    <w:rsid w:val="00E41C17"/>
    <w:rsid w:val="00E43820"/>
    <w:rsid w:val="00E43E6E"/>
    <w:rsid w:val="00E465CD"/>
    <w:rsid w:val="00E471E3"/>
    <w:rsid w:val="00E57CED"/>
    <w:rsid w:val="00E608E7"/>
    <w:rsid w:val="00E61A61"/>
    <w:rsid w:val="00E61CD0"/>
    <w:rsid w:val="00E62956"/>
    <w:rsid w:val="00E62A5E"/>
    <w:rsid w:val="00E63BEE"/>
    <w:rsid w:val="00E64106"/>
    <w:rsid w:val="00E655EF"/>
    <w:rsid w:val="00E65B5D"/>
    <w:rsid w:val="00E66E96"/>
    <w:rsid w:val="00E67752"/>
    <w:rsid w:val="00E70211"/>
    <w:rsid w:val="00E7332B"/>
    <w:rsid w:val="00E73437"/>
    <w:rsid w:val="00E739F0"/>
    <w:rsid w:val="00E742D8"/>
    <w:rsid w:val="00E80381"/>
    <w:rsid w:val="00E831E1"/>
    <w:rsid w:val="00E85000"/>
    <w:rsid w:val="00E8668B"/>
    <w:rsid w:val="00E9096C"/>
    <w:rsid w:val="00E91162"/>
    <w:rsid w:val="00E945B8"/>
    <w:rsid w:val="00E95873"/>
    <w:rsid w:val="00E95FE1"/>
    <w:rsid w:val="00E97B30"/>
    <w:rsid w:val="00EA0475"/>
    <w:rsid w:val="00EA6C4D"/>
    <w:rsid w:val="00EA7C72"/>
    <w:rsid w:val="00EA7EF6"/>
    <w:rsid w:val="00EB1C0D"/>
    <w:rsid w:val="00EB3303"/>
    <w:rsid w:val="00EB3F1D"/>
    <w:rsid w:val="00EB5A79"/>
    <w:rsid w:val="00EB7CE4"/>
    <w:rsid w:val="00EC0D51"/>
    <w:rsid w:val="00EC212C"/>
    <w:rsid w:val="00EC2B0F"/>
    <w:rsid w:val="00EC3CDE"/>
    <w:rsid w:val="00EC56D7"/>
    <w:rsid w:val="00EC5D9A"/>
    <w:rsid w:val="00EC5FA3"/>
    <w:rsid w:val="00EC648C"/>
    <w:rsid w:val="00EC7BFD"/>
    <w:rsid w:val="00ED1B06"/>
    <w:rsid w:val="00ED2996"/>
    <w:rsid w:val="00ED3078"/>
    <w:rsid w:val="00EE222C"/>
    <w:rsid w:val="00EE2521"/>
    <w:rsid w:val="00EE2959"/>
    <w:rsid w:val="00EE34B7"/>
    <w:rsid w:val="00EE6FC6"/>
    <w:rsid w:val="00EE7961"/>
    <w:rsid w:val="00EF0B84"/>
    <w:rsid w:val="00EF0BF5"/>
    <w:rsid w:val="00EF13F1"/>
    <w:rsid w:val="00EF1751"/>
    <w:rsid w:val="00EF434C"/>
    <w:rsid w:val="00EF4A32"/>
    <w:rsid w:val="00EF5913"/>
    <w:rsid w:val="00EF6AF2"/>
    <w:rsid w:val="00F00DC9"/>
    <w:rsid w:val="00F014BB"/>
    <w:rsid w:val="00F01BFC"/>
    <w:rsid w:val="00F0310A"/>
    <w:rsid w:val="00F0677C"/>
    <w:rsid w:val="00F1089C"/>
    <w:rsid w:val="00F14546"/>
    <w:rsid w:val="00F2207F"/>
    <w:rsid w:val="00F221C1"/>
    <w:rsid w:val="00F22AD1"/>
    <w:rsid w:val="00F241D3"/>
    <w:rsid w:val="00F2478B"/>
    <w:rsid w:val="00F27E64"/>
    <w:rsid w:val="00F30621"/>
    <w:rsid w:val="00F30B9B"/>
    <w:rsid w:val="00F30FDE"/>
    <w:rsid w:val="00F31BF8"/>
    <w:rsid w:val="00F33DB6"/>
    <w:rsid w:val="00F340DC"/>
    <w:rsid w:val="00F354B3"/>
    <w:rsid w:val="00F35B8C"/>
    <w:rsid w:val="00F37FEF"/>
    <w:rsid w:val="00F4074F"/>
    <w:rsid w:val="00F40D35"/>
    <w:rsid w:val="00F43DE0"/>
    <w:rsid w:val="00F44A0F"/>
    <w:rsid w:val="00F46498"/>
    <w:rsid w:val="00F46FC4"/>
    <w:rsid w:val="00F478F2"/>
    <w:rsid w:val="00F50A91"/>
    <w:rsid w:val="00F53D9C"/>
    <w:rsid w:val="00F56C56"/>
    <w:rsid w:val="00F603FE"/>
    <w:rsid w:val="00F63A2B"/>
    <w:rsid w:val="00F66785"/>
    <w:rsid w:val="00F6795D"/>
    <w:rsid w:val="00F67FF2"/>
    <w:rsid w:val="00F702E3"/>
    <w:rsid w:val="00F713FD"/>
    <w:rsid w:val="00F71F4D"/>
    <w:rsid w:val="00F72270"/>
    <w:rsid w:val="00F7407B"/>
    <w:rsid w:val="00F769BC"/>
    <w:rsid w:val="00F81A4D"/>
    <w:rsid w:val="00F81D82"/>
    <w:rsid w:val="00F83100"/>
    <w:rsid w:val="00F84141"/>
    <w:rsid w:val="00F84637"/>
    <w:rsid w:val="00F86800"/>
    <w:rsid w:val="00F86DAA"/>
    <w:rsid w:val="00F90519"/>
    <w:rsid w:val="00F91F9A"/>
    <w:rsid w:val="00F92DD3"/>
    <w:rsid w:val="00F94867"/>
    <w:rsid w:val="00F9489B"/>
    <w:rsid w:val="00F96373"/>
    <w:rsid w:val="00FA1381"/>
    <w:rsid w:val="00FA2ECE"/>
    <w:rsid w:val="00FA5AE3"/>
    <w:rsid w:val="00FB2E08"/>
    <w:rsid w:val="00FB502E"/>
    <w:rsid w:val="00FB5189"/>
    <w:rsid w:val="00FB5CD2"/>
    <w:rsid w:val="00FC1253"/>
    <w:rsid w:val="00FC219D"/>
    <w:rsid w:val="00FC264A"/>
    <w:rsid w:val="00FC42E3"/>
    <w:rsid w:val="00FC54C6"/>
    <w:rsid w:val="00FD3470"/>
    <w:rsid w:val="00FD47BC"/>
    <w:rsid w:val="00FD6DA1"/>
    <w:rsid w:val="00FE1341"/>
    <w:rsid w:val="00FE200E"/>
    <w:rsid w:val="00FE2592"/>
    <w:rsid w:val="00FE4829"/>
    <w:rsid w:val="00FF16CC"/>
    <w:rsid w:val="00FF3B06"/>
    <w:rsid w:val="00FF4387"/>
    <w:rsid w:val="00FF5B63"/>
    <w:rsid w:val="01057A38"/>
    <w:rsid w:val="014FDDB4"/>
    <w:rsid w:val="02408504"/>
    <w:rsid w:val="02E41B99"/>
    <w:rsid w:val="0424ADF6"/>
    <w:rsid w:val="0516BE91"/>
    <w:rsid w:val="05182E68"/>
    <w:rsid w:val="0523F04A"/>
    <w:rsid w:val="053F5A7B"/>
    <w:rsid w:val="0597C80C"/>
    <w:rsid w:val="05C3E68C"/>
    <w:rsid w:val="061BBC5B"/>
    <w:rsid w:val="07C3950D"/>
    <w:rsid w:val="095F656E"/>
    <w:rsid w:val="09F9A89C"/>
    <w:rsid w:val="0A14129E"/>
    <w:rsid w:val="0B9331CE"/>
    <w:rsid w:val="0C210091"/>
    <w:rsid w:val="0CABB8B8"/>
    <w:rsid w:val="0CBA9A79"/>
    <w:rsid w:val="0CE6653C"/>
    <w:rsid w:val="0D31495E"/>
    <w:rsid w:val="0DB9124C"/>
    <w:rsid w:val="0DBCD0F2"/>
    <w:rsid w:val="0EB3EDE4"/>
    <w:rsid w:val="0EC2A39D"/>
    <w:rsid w:val="0F1FA827"/>
    <w:rsid w:val="0F58A153"/>
    <w:rsid w:val="106E9077"/>
    <w:rsid w:val="107436D0"/>
    <w:rsid w:val="10BDF410"/>
    <w:rsid w:val="10F471B4"/>
    <w:rsid w:val="1251D6EB"/>
    <w:rsid w:val="1301D1DF"/>
    <w:rsid w:val="132157A9"/>
    <w:rsid w:val="142343FB"/>
    <w:rsid w:val="142B030D"/>
    <w:rsid w:val="142C1276"/>
    <w:rsid w:val="1462DE15"/>
    <w:rsid w:val="15704049"/>
    <w:rsid w:val="15C6D36E"/>
    <w:rsid w:val="1624C019"/>
    <w:rsid w:val="162DD707"/>
    <w:rsid w:val="1658F86B"/>
    <w:rsid w:val="16801BD3"/>
    <w:rsid w:val="17B07F0B"/>
    <w:rsid w:val="1851B55C"/>
    <w:rsid w:val="185BC087"/>
    <w:rsid w:val="18C4604F"/>
    <w:rsid w:val="197B03BF"/>
    <w:rsid w:val="1A03A06E"/>
    <w:rsid w:val="1AA9E275"/>
    <w:rsid w:val="1AE81FCD"/>
    <w:rsid w:val="1B01482A"/>
    <w:rsid w:val="1B0CE3C4"/>
    <w:rsid w:val="1B2C698E"/>
    <w:rsid w:val="1B69D744"/>
    <w:rsid w:val="1B758AD1"/>
    <w:rsid w:val="1BBFC8E5"/>
    <w:rsid w:val="1C283556"/>
    <w:rsid w:val="1C829E27"/>
    <w:rsid w:val="1D79EE13"/>
    <w:rsid w:val="1D9C7718"/>
    <w:rsid w:val="1FF50F4E"/>
    <w:rsid w:val="20A76758"/>
    <w:rsid w:val="20CAF545"/>
    <w:rsid w:val="2112665E"/>
    <w:rsid w:val="22D09642"/>
    <w:rsid w:val="240DA7BE"/>
    <w:rsid w:val="2466CAE9"/>
    <w:rsid w:val="24781D67"/>
    <w:rsid w:val="2481D05A"/>
    <w:rsid w:val="24C82123"/>
    <w:rsid w:val="24D4987D"/>
    <w:rsid w:val="2537C048"/>
    <w:rsid w:val="2570F2B7"/>
    <w:rsid w:val="2726C34E"/>
    <w:rsid w:val="272A3101"/>
    <w:rsid w:val="2781C488"/>
    <w:rsid w:val="28AF1C5D"/>
    <w:rsid w:val="2A55DAC2"/>
    <w:rsid w:val="2AB9654A"/>
    <w:rsid w:val="2AF111DE"/>
    <w:rsid w:val="2B3D0F27"/>
    <w:rsid w:val="2C8D17A9"/>
    <w:rsid w:val="2CA448AD"/>
    <w:rsid w:val="2CF19A46"/>
    <w:rsid w:val="2D016ADF"/>
    <w:rsid w:val="2D44A280"/>
    <w:rsid w:val="2D6E836C"/>
    <w:rsid w:val="2D80A532"/>
    <w:rsid w:val="2DF1060C"/>
    <w:rsid w:val="2E1F7EF8"/>
    <w:rsid w:val="2E40190E"/>
    <w:rsid w:val="2E645694"/>
    <w:rsid w:val="2F3542E6"/>
    <w:rsid w:val="2FDBE96F"/>
    <w:rsid w:val="307FEE9E"/>
    <w:rsid w:val="30EE028B"/>
    <w:rsid w:val="3152D731"/>
    <w:rsid w:val="31C0FEAB"/>
    <w:rsid w:val="321C4D1B"/>
    <w:rsid w:val="328C6972"/>
    <w:rsid w:val="32E21A71"/>
    <w:rsid w:val="330B9CAB"/>
    <w:rsid w:val="339EF51F"/>
    <w:rsid w:val="348A77F3"/>
    <w:rsid w:val="349B4114"/>
    <w:rsid w:val="35934A4C"/>
    <w:rsid w:val="3619BB33"/>
    <w:rsid w:val="362A06FA"/>
    <w:rsid w:val="36D695E1"/>
    <w:rsid w:val="372C8A3E"/>
    <w:rsid w:val="376253B3"/>
    <w:rsid w:val="37CF94E6"/>
    <w:rsid w:val="3801DCEE"/>
    <w:rsid w:val="38C7739F"/>
    <w:rsid w:val="38CAEA55"/>
    <w:rsid w:val="3A5578C5"/>
    <w:rsid w:val="3AFC41A6"/>
    <w:rsid w:val="3B6D062A"/>
    <w:rsid w:val="3B70DB43"/>
    <w:rsid w:val="3BAA0704"/>
    <w:rsid w:val="3C4BD012"/>
    <w:rsid w:val="3D2B5F63"/>
    <w:rsid w:val="3D8D1987"/>
    <w:rsid w:val="3DA8BF14"/>
    <w:rsid w:val="3E0AA14F"/>
    <w:rsid w:val="3E1831DC"/>
    <w:rsid w:val="3E563CD8"/>
    <w:rsid w:val="3F2C317F"/>
    <w:rsid w:val="3FF20D39"/>
    <w:rsid w:val="414FD29E"/>
    <w:rsid w:val="4166AC2C"/>
    <w:rsid w:val="41A01FAE"/>
    <w:rsid w:val="42475ECF"/>
    <w:rsid w:val="43027C8D"/>
    <w:rsid w:val="434B32A8"/>
    <w:rsid w:val="440463CF"/>
    <w:rsid w:val="449E4CEE"/>
    <w:rsid w:val="44C365FB"/>
    <w:rsid w:val="44CE8350"/>
    <w:rsid w:val="46F05517"/>
    <w:rsid w:val="479C0F71"/>
    <w:rsid w:val="47F19E89"/>
    <w:rsid w:val="4A64112D"/>
    <w:rsid w:val="4A738A15"/>
    <w:rsid w:val="4A93FBAF"/>
    <w:rsid w:val="4B499769"/>
    <w:rsid w:val="4BB68707"/>
    <w:rsid w:val="4BF7F408"/>
    <w:rsid w:val="4C0F5A76"/>
    <w:rsid w:val="4C209C67"/>
    <w:rsid w:val="4D6AA650"/>
    <w:rsid w:val="4F2F94CA"/>
    <w:rsid w:val="4F378250"/>
    <w:rsid w:val="4F68C537"/>
    <w:rsid w:val="4FA4F195"/>
    <w:rsid w:val="503A2739"/>
    <w:rsid w:val="513FDD3E"/>
    <w:rsid w:val="51D68E8C"/>
    <w:rsid w:val="52837E9C"/>
    <w:rsid w:val="53E84F3B"/>
    <w:rsid w:val="540AF373"/>
    <w:rsid w:val="5484A197"/>
    <w:rsid w:val="54BC5E3E"/>
    <w:rsid w:val="54FBD2C1"/>
    <w:rsid w:val="566FED44"/>
    <w:rsid w:val="58299CCF"/>
    <w:rsid w:val="584F247B"/>
    <w:rsid w:val="58D4B521"/>
    <w:rsid w:val="590AE558"/>
    <w:rsid w:val="59312813"/>
    <w:rsid w:val="59A11BEA"/>
    <w:rsid w:val="5A460729"/>
    <w:rsid w:val="5A558D20"/>
    <w:rsid w:val="5B4CE207"/>
    <w:rsid w:val="5BA64B07"/>
    <w:rsid w:val="5C257E40"/>
    <w:rsid w:val="5CC61F58"/>
    <w:rsid w:val="5D3600C6"/>
    <w:rsid w:val="5D4375FD"/>
    <w:rsid w:val="5D5D4222"/>
    <w:rsid w:val="5DD567EE"/>
    <w:rsid w:val="5DD8ECCA"/>
    <w:rsid w:val="5DE9D0D1"/>
    <w:rsid w:val="5DFB6433"/>
    <w:rsid w:val="5E8482C9"/>
    <w:rsid w:val="5EA18927"/>
    <w:rsid w:val="5F4CFE25"/>
    <w:rsid w:val="6002D5AA"/>
    <w:rsid w:val="606DA188"/>
    <w:rsid w:val="61AEA75A"/>
    <w:rsid w:val="61BC238B"/>
    <w:rsid w:val="628546DC"/>
    <w:rsid w:val="6294BFC4"/>
    <w:rsid w:val="632694CB"/>
    <w:rsid w:val="632ED5D3"/>
    <w:rsid w:val="636D132B"/>
    <w:rsid w:val="63C99269"/>
    <w:rsid w:val="641D0E1F"/>
    <w:rsid w:val="65307251"/>
    <w:rsid w:val="6624FB4A"/>
    <w:rsid w:val="66454305"/>
    <w:rsid w:val="665FB8FA"/>
    <w:rsid w:val="66C1E279"/>
    <w:rsid w:val="671BB94C"/>
    <w:rsid w:val="678357A1"/>
    <w:rsid w:val="69AD2C1E"/>
    <w:rsid w:val="6A077613"/>
    <w:rsid w:val="6A7A7D54"/>
    <w:rsid w:val="6A808DC1"/>
    <w:rsid w:val="6A86A94C"/>
    <w:rsid w:val="6B48FC7F"/>
    <w:rsid w:val="6B51CAFA"/>
    <w:rsid w:val="6BB51949"/>
    <w:rsid w:val="6C0899D3"/>
    <w:rsid w:val="6CED9B5B"/>
    <w:rsid w:val="6CFD10C5"/>
    <w:rsid w:val="6D57BD70"/>
    <w:rsid w:val="6E6728DF"/>
    <w:rsid w:val="6EAFC5D2"/>
    <w:rsid w:val="6EB20D01"/>
    <w:rsid w:val="6F7CE98F"/>
    <w:rsid w:val="70E2BC95"/>
    <w:rsid w:val="724215F9"/>
    <w:rsid w:val="733E58A8"/>
    <w:rsid w:val="74CF90BF"/>
    <w:rsid w:val="74F8AD40"/>
    <w:rsid w:val="7526F4DC"/>
    <w:rsid w:val="76F2DE83"/>
    <w:rsid w:val="77BFB124"/>
    <w:rsid w:val="77CDA16C"/>
    <w:rsid w:val="77DBB515"/>
    <w:rsid w:val="782F6D0D"/>
    <w:rsid w:val="78514F7F"/>
    <w:rsid w:val="78AA11AC"/>
    <w:rsid w:val="795DF42B"/>
    <w:rsid w:val="7AA4BA9C"/>
    <w:rsid w:val="7B05422E"/>
    <w:rsid w:val="7BA1D1FA"/>
    <w:rsid w:val="7C23E87D"/>
    <w:rsid w:val="7CCC60AB"/>
    <w:rsid w:val="7CFA0C32"/>
    <w:rsid w:val="7D3310A4"/>
    <w:rsid w:val="7DDC5B5E"/>
    <w:rsid w:val="7DF50CD1"/>
    <w:rsid w:val="7ECDD722"/>
    <w:rsid w:val="7F5BA5E5"/>
    <w:rsid w:val="7FB4B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F971B"/>
  <w15:docId w15:val="{B76F69C4-74C9-8A4C-A5DC-027BE45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00E"/>
    <w:pPr>
      <w:spacing w:after="0" w:line="240" w:lineRule="auto"/>
    </w:pPr>
    <w:rPr>
      <w:rFonts w:ascii="Arial" w:eastAsia="Times" w:hAnsi="Arial" w:cs="Times New Roman"/>
      <w:color w:val="000000"/>
      <w:szCs w:val="20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E200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en-US"/>
    </w:rPr>
  </w:style>
  <w:style w:type="table" w:customStyle="1" w:styleId="TableGrid1">
    <w:name w:val="Table Grid1"/>
    <w:basedOn w:val="Tabellanormale"/>
    <w:next w:val="Grigliatabella"/>
    <w:uiPriority w:val="59"/>
    <w:rsid w:val="00FE200E"/>
    <w:pPr>
      <w:spacing w:after="0" w:line="260" w:lineRule="exac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E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B5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5A7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5A79"/>
    <w:rPr>
      <w:rFonts w:ascii="Arial" w:eastAsia="Times" w:hAnsi="Arial" w:cs="Times New Roman"/>
      <w:color w:val="000000"/>
      <w:sz w:val="20"/>
      <w:szCs w:val="20"/>
      <w:lang w:val="en-US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5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5A79"/>
    <w:rPr>
      <w:rFonts w:ascii="Arial" w:eastAsia="Times" w:hAnsi="Arial" w:cs="Times New Roman"/>
      <w:b/>
      <w:bCs/>
      <w:color w:val="000000"/>
      <w:sz w:val="20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79"/>
    <w:rPr>
      <w:rFonts w:ascii="Segoe UI" w:eastAsia="Times" w:hAnsi="Segoe UI" w:cs="Segoe UI"/>
      <w:color w:val="000000"/>
      <w:sz w:val="18"/>
      <w:szCs w:val="18"/>
      <w:lang w:val="en-US" w:eastAsia="en-GB"/>
    </w:rPr>
  </w:style>
  <w:style w:type="paragraph" w:styleId="Paragrafoelenco">
    <w:name w:val="List Paragraph"/>
    <w:aliases w:val="List Paragraph (numbered (a)),List Paragraph à moi,bullets,action points,Bullet List,FooterText,Colorful List Accent 1,numbered,Paragraphe de liste1,列出段落,列出段落1,Bulletr List Paragraph,List Paragraph2,List Paragraph21,Párrafo de lista1"/>
    <w:basedOn w:val="Normale"/>
    <w:link w:val="ParagrafoelencoCarattere"/>
    <w:uiPriority w:val="34"/>
    <w:qFormat/>
    <w:rsid w:val="002528B2"/>
    <w:pPr>
      <w:ind w:left="720"/>
      <w:contextualSpacing/>
    </w:pPr>
  </w:style>
  <w:style w:type="paragraph" w:customStyle="1" w:styleId="Default">
    <w:name w:val="Default"/>
    <w:rsid w:val="0072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1E1CC2"/>
    <w:pPr>
      <w:spacing w:after="0" w:line="240" w:lineRule="auto"/>
    </w:pPr>
    <w:rPr>
      <w:rFonts w:ascii="Arial" w:eastAsia="Times" w:hAnsi="Arial" w:cs="Times New Roman"/>
      <w:color w:val="000000"/>
      <w:szCs w:val="20"/>
      <w:lang w:val="en-US" w:eastAsia="en-GB"/>
    </w:rPr>
  </w:style>
  <w:style w:type="character" w:customStyle="1" w:styleId="CommentTextChar1">
    <w:name w:val="Comment Text Char1"/>
    <w:uiPriority w:val="99"/>
    <w:semiHidden/>
    <w:rsid w:val="007F0546"/>
    <w:rPr>
      <w:lang w:eastAsia="en-US"/>
    </w:rPr>
  </w:style>
  <w:style w:type="character" w:customStyle="1" w:styleId="ParagrafoelencoCarattere">
    <w:name w:val="Paragrafo elenco Carattere"/>
    <w:aliases w:val="List Paragraph (numbered (a)) Carattere,List Paragraph à moi Carattere,bullets Carattere,action points Carattere,Bullet List Carattere,FooterText Carattere,Colorful List Accent 1 Carattere,numbered Carattere,列出段落 Carattere"/>
    <w:link w:val="Paragrafoelenco"/>
    <w:uiPriority w:val="34"/>
    <w:locked/>
    <w:rsid w:val="009D03A2"/>
    <w:rPr>
      <w:rFonts w:ascii="Arial" w:eastAsia="Times" w:hAnsi="Arial" w:cs="Times New Roman"/>
      <w:color w:val="000000"/>
      <w:szCs w:val="20"/>
      <w:lang w:val="en-US" w:eastAsia="en-GB"/>
    </w:rPr>
  </w:style>
  <w:style w:type="paragraph" w:styleId="Testonotaapidipagina">
    <w:name w:val="footnote text"/>
    <w:basedOn w:val="Normale"/>
    <w:link w:val="TestonotaapidipaginaCarattere"/>
    <w:unhideWhenUsed/>
    <w:rsid w:val="00685E0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E05"/>
    <w:rPr>
      <w:rFonts w:ascii="Arial" w:eastAsia="Times" w:hAnsi="Arial" w:cs="Times New Roman"/>
      <w:color w:val="000000"/>
      <w:sz w:val="20"/>
      <w:szCs w:val="20"/>
      <w:lang w:val="en-US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0C123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3B"/>
    <w:rPr>
      <w:rFonts w:ascii="Arial" w:eastAsia="Times" w:hAnsi="Arial" w:cs="Times New Roman"/>
      <w:color w:val="000000"/>
      <w:szCs w:val="20"/>
      <w:lang w:val="en-US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C123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3B"/>
    <w:rPr>
      <w:rFonts w:ascii="Arial" w:eastAsia="Times" w:hAnsi="Arial" w:cs="Times New Roman"/>
      <w:color w:val="000000"/>
      <w:szCs w:val="20"/>
      <w:lang w:val="en-US" w:eastAsia="en-GB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65F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65FCF"/>
    <w:rPr>
      <w:rFonts w:ascii="Arial" w:eastAsia="Times" w:hAnsi="Arial" w:cs="Times New Roman"/>
      <w:color w:val="000000"/>
      <w:sz w:val="20"/>
      <w:szCs w:val="20"/>
      <w:lang w:val="en-US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65FC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20128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20128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707182"/>
    <w:rPr>
      <w:color w:val="808080"/>
      <w:shd w:val="clear" w:color="auto" w:fill="E6E6E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2DB"/>
    <w:rPr>
      <w:vertAlign w:val="superscript"/>
    </w:rPr>
  </w:style>
  <w:style w:type="character" w:customStyle="1" w:styleId="fontstyle01">
    <w:name w:val="fontstyle01"/>
    <w:basedOn w:val="Carpredefinitoparagrafo"/>
    <w:rsid w:val="005B621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F40D3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3BDF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6A39E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Carpredefinitoparagrafo"/>
    <w:rsid w:val="006A39E6"/>
  </w:style>
  <w:style w:type="character" w:customStyle="1" w:styleId="eop">
    <w:name w:val="eop"/>
    <w:basedOn w:val="Carpredefinitoparagrafo"/>
    <w:rsid w:val="006A39E6"/>
  </w:style>
  <w:style w:type="paragraph" w:customStyle="1" w:styleId="xmsocommenttext">
    <w:name w:val="x_msocommenttext"/>
    <w:basedOn w:val="Normale"/>
    <w:rsid w:val="003052AC"/>
    <w:rPr>
      <w:rFonts w:ascii="Calibri" w:eastAsiaTheme="minorHAnsi" w:hAnsi="Calibri" w:cs="Calibri"/>
      <w:color w:val="auto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7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n/pdfs/UN%20Protocol%20on%20SEA%20Allegations%20involving%20Implementing%20Partners%20-%20English_Final.pdf" TargetMode="External"/><Relationship Id="rId18" Type="http://schemas.openxmlformats.org/officeDocument/2006/relationships/hyperlink" Target="https://unsdg.un.org/resources/management-and-accountability-framework-un-development-and-resident-coordinator-system" TargetMode="External"/><Relationship Id="rId26" Type="http://schemas.openxmlformats.org/officeDocument/2006/relationships/hyperlink" Target="file:///C:\Users\Cristian\Downloads\3.%20Comments%20Received\PDV_OVRA_JC_Valeria_May%2028\&#61607;%09https:\www.un.org\preventing-sexual-exploitation-and-abuse\content\office-victims-rights-advoc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eragencystandingcommittee.org/inter-agency-standing-committee/iasc-six-core-principles-relating-sexual-exploitation-and-abu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.org/preventing-sexual-exploitation-and-abuse/content/submit-project-proposals" TargetMode="External"/><Relationship Id="rId17" Type="http://schemas.openxmlformats.org/officeDocument/2006/relationships/hyperlink" Target="https://interagencystandingcommittee.org/un-implementing-partner-psea-capacity-assessment-0" TargetMode="External"/><Relationship Id="rId25" Type="http://schemas.openxmlformats.org/officeDocument/2006/relationships/hyperlink" Target="https://www.un.org/preventing-sexual-exploitation-and-abuse/content/policies-and-protoc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r.info/the-misconduct-disclosure-scheme" TargetMode="External"/><Relationship Id="rId20" Type="http://schemas.openxmlformats.org/officeDocument/2006/relationships/hyperlink" Target="https://interagencystandingcommittee.org/pse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ST/SGB/2017/2/Rev.1" TargetMode="External"/><Relationship Id="rId24" Type="http://schemas.openxmlformats.org/officeDocument/2006/relationships/hyperlink" Target="https://interagencystandingcommittee.org/system/files/best_practice_guide_inter_agency_community_based_complaint_mechanisms_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agencystandingcommittee.org/un-implementing-partner-psea-capacity-assessment-0" TargetMode="External"/><Relationship Id="rId23" Type="http://schemas.openxmlformats.org/officeDocument/2006/relationships/hyperlink" Target="https://psea.interagencystandingcommittee.org/resources/best-practice-guide-inter-agency-cbcm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nitednations.sharepoint.com/sites/APP-Gateway/SitePages/PSEA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ocs.org/en/ST/SGB/2003/13" TargetMode="External"/><Relationship Id="rId22" Type="http://schemas.openxmlformats.org/officeDocument/2006/relationships/hyperlink" Target="https://interagencystandingcommittee.org/iasc-task-team-accountability-affected-populations-and-protection-sexual-exploitation-and-abuse/minimum-operating-standards-mos-psea" TargetMode="External"/><Relationship Id="rId27" Type="http://schemas.openxmlformats.org/officeDocument/2006/relationships/hyperlink" Target="https://www.youtube.com/watch?v=9ueH7Lyz_vA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en/pdfs/UN%20Victim%20Assistance%20Protocol_English_Final.pdf" TargetMode="External"/><Relationship Id="rId2" Type="http://schemas.openxmlformats.org/officeDocument/2006/relationships/hyperlink" Target="https://undocs.org/A/RES/62/214" TargetMode="External"/><Relationship Id="rId1" Type="http://schemas.openxmlformats.org/officeDocument/2006/relationships/hyperlink" Target="https://interagencystandingcommittee.org/system/files/best_practice_guide_inter_agency_community_based_complaint_mechanisms_1.pdf" TargetMode="External"/><Relationship Id="rId4" Type="http://schemas.openxmlformats.org/officeDocument/2006/relationships/hyperlink" Target="mailto:ovr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8754AF398D448465271227C73C84" ma:contentTypeVersion="14" ma:contentTypeDescription="Create a new document." ma:contentTypeScope="" ma:versionID="15e089b7c0bdcdfb265c49791217cd0b">
  <xsd:schema xmlns:xsd="http://www.w3.org/2001/XMLSchema" xmlns:xs="http://www.w3.org/2001/XMLSchema" xmlns:p="http://schemas.microsoft.com/office/2006/metadata/properties" xmlns:ns2="f1b4f654-7487-4408-affb-c7bc2a700840" xmlns:ns3="b676d75a-79dc-47ac-8889-c73a49a72abf" targetNamespace="http://schemas.microsoft.com/office/2006/metadata/properties" ma:root="true" ma:fieldsID="64f237cb7ba6c9485d990e9925659f5b" ns2:_="" ns3:_="">
    <xsd:import namespace="f1b4f654-7487-4408-affb-c7bc2a700840"/>
    <xsd:import namespace="b676d75a-79dc-47ac-8889-c73a49a72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4f654-7487-4408-affb-c7bc2a700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d75a-79dc-47ac-8889-c73a49a72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1b4f654-7487-4408-affb-c7bc2a700840" xsi:nil="true"/>
  </documentManagement>
</p:properties>
</file>

<file path=customXml/itemProps1.xml><?xml version="1.0" encoding="utf-8"?>
<ds:datastoreItem xmlns:ds="http://schemas.openxmlformats.org/officeDocument/2006/customXml" ds:itemID="{4C394F68-071C-47CD-98C3-F1D476E64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B4526-AE31-4751-A161-3D3FFE49E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4f654-7487-4408-affb-c7bc2a700840"/>
    <ds:schemaRef ds:uri="b676d75a-79dc-47ac-8889-c73a49a72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8B8CE-D4D3-421A-880B-91E8623F4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1F5FE-1401-428D-9626-BB6C5FEFFE2A}">
  <ds:schemaRefs>
    <ds:schemaRef ds:uri="http://schemas.microsoft.com/office/2006/metadata/properties"/>
    <ds:schemaRef ds:uri="http://schemas.microsoft.com/office/infopath/2007/PartnerControls"/>
    <ds:schemaRef ds:uri="f1b4f654-7487-4408-affb-c7bc2a700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3552</Words>
  <Characters>20252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Boelens</dc:creator>
  <cp:keywords/>
  <dc:description/>
  <cp:lastModifiedBy>maria scicchitano</cp:lastModifiedBy>
  <cp:revision>3</cp:revision>
  <cp:lastPrinted>2019-02-21T20:59:00Z</cp:lastPrinted>
  <dcterms:created xsi:type="dcterms:W3CDTF">2022-06-15T05:53:00Z</dcterms:created>
  <dcterms:modified xsi:type="dcterms:W3CDTF">2022-06-20T06:56:00Z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0x010100EC7B8754AF398D448465271227C73C84</vt:lpwstr>
  </property>
</Properties>
</file>