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303B" w:rsidRPr="002705A9" w:rsidRDefault="00C9303B" w:rsidP="00C9303B">
      <w:pPr>
        <w:ind w:left="720" w:hanging="360"/>
        <w:rPr>
          <w:b/>
          <w:lang w:val="fr-FR"/>
        </w:rPr>
      </w:pPr>
      <w:r>
        <w:rPr>
          <w:b/>
          <w:lang w:val="fr-FR"/>
        </w:rPr>
        <w:t>Les six principes fondamentaux concernant l’exploitation et les abus sexuels</w:t>
      </w:r>
      <w:r w:rsidRPr="002705A9">
        <w:rPr>
          <w:rStyle w:val="FootnoteReference"/>
          <w:lang w:val="fr-FR"/>
        </w:rPr>
        <w:footnoteReference w:id="2"/>
      </w:r>
    </w:p>
    <w:p w:rsidR="00C9303B" w:rsidRPr="002705A9" w:rsidRDefault="00C9303B" w:rsidP="00C9303B">
      <w:pPr>
        <w:autoSpaceDE w:val="0"/>
        <w:autoSpaceDN w:val="0"/>
        <w:adjustRightInd w:val="0"/>
        <w:rPr>
          <w:rFonts w:ascii="Verdana" w:hAnsi="Verdana"/>
          <w:sz w:val="18"/>
          <w:szCs w:val="18"/>
          <w:lang w:val="fr-FR"/>
        </w:rPr>
      </w:pPr>
    </w:p>
    <w:p w:rsidR="00C9303B" w:rsidRPr="002705A9" w:rsidRDefault="00C9303B" w:rsidP="00C9303B">
      <w:pPr>
        <w:ind w:left="720" w:hanging="360"/>
        <w:rPr>
          <w:b/>
          <w:lang w:val="fr-FR"/>
        </w:rPr>
      </w:pPr>
    </w:p>
    <w:p w:rsidR="00C9303B" w:rsidRPr="002705A9" w:rsidRDefault="00C9303B" w:rsidP="00C9303B">
      <w:pPr>
        <w:ind w:left="720" w:hanging="360"/>
        <w:rPr>
          <w:b/>
          <w:lang w:val="fr-FR"/>
        </w:rPr>
      </w:pPr>
    </w:p>
    <w:p w:rsidR="00C9303B" w:rsidRPr="002705A9" w:rsidRDefault="00C9303B" w:rsidP="00C9303B">
      <w:pPr>
        <w:numPr>
          <w:ilvl w:val="0"/>
          <w:numId w:val="1"/>
        </w:numPr>
        <w:ind w:left="720"/>
        <w:rPr>
          <w:lang w:val="fr-FR"/>
        </w:rPr>
      </w:pPr>
      <w:r>
        <w:rPr>
          <w:lang w:val="fr-FR"/>
        </w:rPr>
        <w:t>« </w:t>
      </w:r>
      <w:r w:rsidRPr="002705A9">
        <w:rPr>
          <w:lang w:val="fr-FR"/>
        </w:rPr>
        <w:t>L’exploitation et les abus sexuels constituent des fautes graves passibles de sanctions disciplinaires, pouvant aller jusqu’au renvoi sans préavis.</w:t>
      </w:r>
    </w:p>
    <w:p w:rsidR="00C9303B" w:rsidRPr="002705A9" w:rsidRDefault="00C9303B" w:rsidP="00C9303B">
      <w:pPr>
        <w:ind w:left="720" w:hanging="360"/>
        <w:rPr>
          <w:lang w:val="fr-FR"/>
        </w:rPr>
      </w:pPr>
    </w:p>
    <w:p w:rsidR="00C9303B" w:rsidRPr="002705A9" w:rsidRDefault="00C9303B" w:rsidP="00C9303B">
      <w:pPr>
        <w:numPr>
          <w:ilvl w:val="0"/>
          <w:numId w:val="1"/>
        </w:numPr>
        <w:ind w:left="720"/>
        <w:rPr>
          <w:lang w:val="fr-FR"/>
        </w:rPr>
      </w:pPr>
      <w:r w:rsidRPr="002705A9">
        <w:rPr>
          <w:lang w:val="fr-FR"/>
        </w:rPr>
        <w:t>Toute relation sexuelle avec un enfant (toute personne âgée de moins de 18 ans) est interdite quel que soit l’âge de la majorité ou du consentement dans le pays considéré. La méconnaissance de l’âge réel de l’enfant ne peut être invoquée comme moyen de défense.</w:t>
      </w:r>
    </w:p>
    <w:p w:rsidR="00C9303B" w:rsidRPr="002705A9" w:rsidRDefault="00C9303B" w:rsidP="00C9303B">
      <w:pPr>
        <w:ind w:left="720" w:hanging="360"/>
        <w:rPr>
          <w:lang w:val="fr-FR"/>
        </w:rPr>
      </w:pPr>
    </w:p>
    <w:p w:rsidR="00C9303B" w:rsidRPr="002705A9" w:rsidRDefault="00C9303B" w:rsidP="00C9303B">
      <w:pPr>
        <w:numPr>
          <w:ilvl w:val="0"/>
          <w:numId w:val="1"/>
        </w:numPr>
        <w:ind w:left="720"/>
        <w:rPr>
          <w:lang w:val="fr-FR"/>
        </w:rPr>
      </w:pPr>
      <w:r w:rsidRPr="002705A9">
        <w:rPr>
          <w:lang w:val="fr-FR"/>
        </w:rPr>
        <w:t>Il est interdit de demander des faveurs sexuelles ou d’imposer toute autre forme de comportement à caractère humiliant, dégradant ou servile en échange d’une somme d’argent, d’un emploi, de biens ou de services, y compris toute assistance due à toutes personnes.</w:t>
      </w:r>
    </w:p>
    <w:p w:rsidR="00C9303B" w:rsidRPr="002705A9" w:rsidRDefault="00C9303B" w:rsidP="00C9303B">
      <w:pPr>
        <w:ind w:left="720" w:hanging="360"/>
        <w:rPr>
          <w:lang w:val="fr-FR"/>
        </w:rPr>
      </w:pPr>
    </w:p>
    <w:p w:rsidR="00C9303B" w:rsidRPr="002705A9" w:rsidRDefault="00C9303B" w:rsidP="00C9303B">
      <w:pPr>
        <w:numPr>
          <w:ilvl w:val="0"/>
          <w:numId w:val="1"/>
        </w:numPr>
        <w:ind w:left="720"/>
        <w:rPr>
          <w:lang w:val="fr-FR"/>
        </w:rPr>
      </w:pPr>
      <w:r w:rsidRPr="002705A9">
        <w:rPr>
          <w:lang w:val="fr-FR"/>
        </w:rPr>
        <w:t xml:space="preserve">Les relations sexuelles entre fonctionnaires des Nations Unies et bénéficiaires d’aide sont vivement déconseillées car elles se fondent sur un rapport de force inégal par définition. En outre, ce type de relation entame la crédibilité et l’intégrité de l’action menée par les Nations Unies. </w:t>
      </w:r>
    </w:p>
    <w:p w:rsidR="00C9303B" w:rsidRPr="002705A9" w:rsidRDefault="00C9303B" w:rsidP="00C9303B">
      <w:pPr>
        <w:ind w:left="720" w:hanging="360"/>
        <w:rPr>
          <w:lang w:val="fr-FR"/>
        </w:rPr>
      </w:pPr>
    </w:p>
    <w:p w:rsidR="00C9303B" w:rsidRPr="002705A9" w:rsidRDefault="00C9303B" w:rsidP="00C9303B">
      <w:pPr>
        <w:numPr>
          <w:ilvl w:val="0"/>
          <w:numId w:val="1"/>
        </w:numPr>
        <w:ind w:left="720"/>
        <w:rPr>
          <w:lang w:val="fr-FR"/>
        </w:rPr>
      </w:pPr>
      <w:r w:rsidRPr="002705A9">
        <w:rPr>
          <w:lang w:val="fr-FR"/>
        </w:rPr>
        <w:t>Tout fonctionnaire des Nations Unies qui soupçonne un collègue, au service ou non du même organisme et que celui-ci appartienne ou non au système des Nations Unies, de se livrer à une exploitation ou à des abus sexuels doit en référer à qui de droit par l’intermédiaire des mécanismes créés à cet effet.</w:t>
      </w:r>
    </w:p>
    <w:p w:rsidR="00C9303B" w:rsidRPr="002705A9" w:rsidRDefault="00C9303B" w:rsidP="00C9303B">
      <w:pPr>
        <w:ind w:left="720" w:hanging="360"/>
        <w:rPr>
          <w:lang w:val="fr-FR"/>
        </w:rPr>
      </w:pPr>
    </w:p>
    <w:p w:rsidR="00C9303B" w:rsidRPr="002705A9" w:rsidRDefault="00C9303B" w:rsidP="00C9303B">
      <w:pPr>
        <w:numPr>
          <w:ilvl w:val="0"/>
          <w:numId w:val="1"/>
        </w:numPr>
        <w:ind w:left="720"/>
        <w:rPr>
          <w:lang w:val="fr-FR"/>
        </w:rPr>
      </w:pPr>
      <w:r w:rsidRPr="002705A9">
        <w:rPr>
          <w:lang w:val="fr-FR"/>
        </w:rPr>
        <w:t>Les fonctionnaires des Nations Unies sont tenus d’instaurer et de préserver un environnement propre à prévenir toute exploitation et tout abus sexuels. En particulier, il incombe aux responsables à tous les niveaux de mettre en place des dispositifs visant à préserver cet environnement et d’assurer leur fonctionnement</w:t>
      </w:r>
      <w:r>
        <w:rPr>
          <w:lang w:val="fr-FR"/>
        </w:rPr>
        <w:t> ».</w:t>
      </w:r>
    </w:p>
    <w:p w:rsidR="00C9303B" w:rsidRPr="002705A9" w:rsidRDefault="00C9303B" w:rsidP="00C9303B">
      <w:pPr>
        <w:rPr>
          <w:lang w:val="fr-FR"/>
        </w:rPr>
      </w:pPr>
    </w:p>
    <w:p w:rsidR="00CF6558" w:rsidRDefault="00CF6558"/>
    <w:sectPr w:rsidR="00CF6558" w:rsidSect="00E468A3">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303B" w:rsidRDefault="00C9303B" w:rsidP="00C9303B">
      <w:r>
        <w:separator/>
      </w:r>
    </w:p>
  </w:endnote>
  <w:endnote w:type="continuationSeparator" w:id="1">
    <w:p w:rsidR="00C9303B" w:rsidRDefault="00C9303B" w:rsidP="00C930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03B" w:rsidRDefault="00C9303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297D" w:rsidRPr="002705A9" w:rsidRDefault="00C9303B">
    <w:pPr>
      <w:pStyle w:val="Footer"/>
      <w:rPr>
        <w:rFonts w:ascii="Arial Narrow" w:hAnsi="Arial Narrow"/>
        <w:lang w:val="fr-FR"/>
      </w:rPr>
    </w:pPr>
    <w:r>
      <w:rPr>
        <w:rFonts w:ascii="Arial Narrow" w:hAnsi="Arial Narrow"/>
        <w:lang w:val="fr-FR"/>
      </w:rPr>
      <w:t>PD 3.5</w:t>
    </w:r>
    <w:r w:rsidRPr="002705A9">
      <w:rPr>
        <w:rFonts w:ascii="Arial Narrow" w:hAnsi="Arial Narrow"/>
        <w:lang w:val="fr-FR"/>
      </w:rPr>
      <w:t xml:space="preserve">: </w:t>
    </w:r>
    <w:r w:rsidRPr="002705A9">
      <w:rPr>
        <w:rFonts w:ascii="Arial Narrow" w:hAnsi="Arial Narrow"/>
        <w:lang w:val="fr-FR"/>
      </w:rPr>
      <w:t>les six principes fondam</w:t>
    </w:r>
    <w:r w:rsidRPr="002705A9">
      <w:rPr>
        <w:rFonts w:ascii="Arial Narrow" w:hAnsi="Arial Narrow"/>
        <w:lang w:val="fr-FR"/>
      </w:rPr>
      <w:t>entaux du CPI</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03B" w:rsidRDefault="00C9303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303B" w:rsidRDefault="00C9303B" w:rsidP="00C9303B">
      <w:r>
        <w:separator/>
      </w:r>
    </w:p>
  </w:footnote>
  <w:footnote w:type="continuationSeparator" w:id="1">
    <w:p w:rsidR="00C9303B" w:rsidRDefault="00C9303B" w:rsidP="00C9303B">
      <w:r>
        <w:continuationSeparator/>
      </w:r>
    </w:p>
  </w:footnote>
  <w:footnote w:id="2">
    <w:p w:rsidR="00C9303B" w:rsidRPr="00A536C4" w:rsidRDefault="00C9303B" w:rsidP="00C9303B">
      <w:pPr>
        <w:pStyle w:val="FootnoteText"/>
        <w:rPr>
          <w:lang w:val="en-US"/>
        </w:rPr>
      </w:pPr>
      <w:r>
        <w:rPr>
          <w:rStyle w:val="FootnoteReference"/>
        </w:rPr>
        <w:footnoteRef/>
      </w:r>
      <w:r>
        <w:t xml:space="preserve"> </w:t>
      </w:r>
      <w:r>
        <w:rPr>
          <w:lang w:val="fr-FR"/>
        </w:rPr>
        <w:t xml:space="preserve">Voir le rapport du Groupe de travail du Comité permanent interorganisations sur la protection contre l’exploitation et les abus sexuels en situation de crises humanitaires du 13 juin </w:t>
      </w:r>
      <w:r w:rsidRPr="002705A9">
        <w:rPr>
          <w:lang w:val="fr-FR"/>
        </w:rPr>
        <w:t xml:space="preserve">2002, Plan </w:t>
      </w:r>
      <w:r>
        <w:rPr>
          <w:lang w:val="fr-FR"/>
        </w:rPr>
        <w:t>d’ac</w:t>
      </w:r>
      <w:r w:rsidRPr="002705A9">
        <w:rPr>
          <w:lang w:val="fr-FR"/>
        </w:rPr>
        <w:t xml:space="preserve">tion, </w:t>
      </w:r>
      <w:r>
        <w:rPr>
          <w:lang w:val="fr-FR"/>
        </w:rPr>
        <w:t>paragraphe</w:t>
      </w:r>
      <w:r w:rsidRPr="002705A9">
        <w:rPr>
          <w:lang w:val="fr-FR"/>
        </w:rPr>
        <w:t xml:space="preserve"> I.A</w:t>
      </w:r>
      <w:r>
        <w:rPr>
          <w:lang w:val="en-US"/>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03B" w:rsidRDefault="00C9303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03B" w:rsidRDefault="00C9303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03B" w:rsidRDefault="00C9303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5509E2"/>
    <w:multiLevelType w:val="hybridMultilevel"/>
    <w:tmpl w:val="B36E0E80"/>
    <w:lvl w:ilvl="0" w:tplc="04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C9303B"/>
    <w:rsid w:val="00C9303B"/>
    <w:rsid w:val="00CF65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303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C9303B"/>
    <w:rPr>
      <w:sz w:val="20"/>
      <w:szCs w:val="20"/>
      <w:lang w:val="en-GB"/>
    </w:rPr>
  </w:style>
  <w:style w:type="character" w:customStyle="1" w:styleId="FootnoteTextChar">
    <w:name w:val="Footnote Text Char"/>
    <w:basedOn w:val="DefaultParagraphFont"/>
    <w:link w:val="FootnoteText"/>
    <w:semiHidden/>
    <w:rsid w:val="00C9303B"/>
    <w:rPr>
      <w:rFonts w:ascii="Times New Roman" w:eastAsia="Times New Roman" w:hAnsi="Times New Roman" w:cs="Times New Roman"/>
      <w:sz w:val="20"/>
      <w:szCs w:val="20"/>
      <w:lang w:val="en-GB"/>
    </w:rPr>
  </w:style>
  <w:style w:type="character" w:styleId="FootnoteReference">
    <w:name w:val="footnote reference"/>
    <w:basedOn w:val="DefaultParagraphFont"/>
    <w:semiHidden/>
    <w:rsid w:val="00C9303B"/>
    <w:rPr>
      <w:vertAlign w:val="superscript"/>
    </w:rPr>
  </w:style>
  <w:style w:type="paragraph" w:styleId="Footer">
    <w:name w:val="footer"/>
    <w:basedOn w:val="Normal"/>
    <w:link w:val="FooterChar"/>
    <w:rsid w:val="00C9303B"/>
    <w:pPr>
      <w:tabs>
        <w:tab w:val="center" w:pos="4320"/>
        <w:tab w:val="right" w:pos="8640"/>
      </w:tabs>
    </w:pPr>
  </w:style>
  <w:style w:type="character" w:customStyle="1" w:styleId="FooterChar">
    <w:name w:val="Footer Char"/>
    <w:basedOn w:val="DefaultParagraphFont"/>
    <w:link w:val="Footer"/>
    <w:rsid w:val="00C9303B"/>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C9303B"/>
    <w:pPr>
      <w:tabs>
        <w:tab w:val="center" w:pos="4680"/>
        <w:tab w:val="right" w:pos="9360"/>
      </w:tabs>
    </w:pPr>
  </w:style>
  <w:style w:type="character" w:customStyle="1" w:styleId="HeaderChar">
    <w:name w:val="Header Char"/>
    <w:basedOn w:val="DefaultParagraphFont"/>
    <w:link w:val="Header"/>
    <w:uiPriority w:val="99"/>
    <w:semiHidden/>
    <w:rsid w:val="00C9303B"/>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251</Words>
  <Characters>1431</Characters>
  <Application>Microsoft Office Word</Application>
  <DocSecurity>0</DocSecurity>
  <Lines>11</Lines>
  <Paragraphs>3</Paragraphs>
  <ScaleCrop>false</ScaleCrop>
  <Company>Dim8250.XP.OHR.31JUL07</Company>
  <LinksUpToDate>false</LinksUpToDate>
  <CharactersWithSpaces>1679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jaqueline.carleson</dc:creator>
  <cp:keywords/>
  <dc:description/>
  <cp:lastModifiedBy>jaqueline.carleson</cp:lastModifiedBy>
  <cp:revision>1</cp:revision>
  <dcterms:created xsi:type="dcterms:W3CDTF">2009-09-04T14:33:00Z</dcterms:created>
  <dcterms:modified xsi:type="dcterms:W3CDTF">2009-09-04T14:38:00Z</dcterms:modified>
</cp:coreProperties>
</file>