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9EA6" w14:textId="77777777" w:rsidR="006F36FD" w:rsidRPr="006F36FD" w:rsidRDefault="006F36F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977"/>
        <w:gridCol w:w="2268"/>
        <w:gridCol w:w="2835"/>
        <w:gridCol w:w="1134"/>
        <w:gridCol w:w="425"/>
        <w:gridCol w:w="425"/>
        <w:gridCol w:w="426"/>
        <w:gridCol w:w="425"/>
      </w:tblGrid>
      <w:tr w:rsidR="008137F3" w:rsidRPr="006F36FD" w14:paraId="5C014318" w14:textId="77777777" w:rsidTr="00CC780D">
        <w:trPr>
          <w:trHeight w:val="337"/>
        </w:trPr>
        <w:tc>
          <w:tcPr>
            <w:tcW w:w="1843" w:type="dxa"/>
          </w:tcPr>
          <w:p w14:paraId="7729A55C" w14:textId="77777777" w:rsidR="008137F3" w:rsidRPr="00EA15BE" w:rsidRDefault="008137F3" w:rsidP="001A22B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4459" w:type="dxa"/>
            <w:gridSpan w:val="9"/>
          </w:tcPr>
          <w:p w14:paraId="5F3DFEF9" w14:textId="1EF9FB47" w:rsidR="008137F3" w:rsidRDefault="008137F3" w:rsidP="001A22B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15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PLAN D’ACTION PEAS 2021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Haïti</w:t>
            </w:r>
          </w:p>
          <w:p w14:paraId="4D449B29" w14:textId="279D792A" w:rsidR="008137F3" w:rsidRPr="00EA15BE" w:rsidRDefault="008137F3" w:rsidP="001A22B2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8137F3" w:rsidRPr="006F36FD" w14:paraId="755291C5" w14:textId="77777777" w:rsidTr="00CC780D">
        <w:trPr>
          <w:trHeight w:val="337"/>
        </w:trPr>
        <w:tc>
          <w:tcPr>
            <w:tcW w:w="1843" w:type="dxa"/>
          </w:tcPr>
          <w:p w14:paraId="583092C0" w14:textId="77777777" w:rsidR="008137F3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58" w:type="dxa"/>
            <w:gridSpan w:val="5"/>
          </w:tcPr>
          <w:p w14:paraId="2D094138" w14:textId="13B9C112" w:rsidR="008137F3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6A7A6A72" w14:textId="6DEE2769" w:rsidR="008137F3" w:rsidRDefault="008137F3" w:rsidP="001A22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Période</w:t>
            </w:r>
          </w:p>
        </w:tc>
      </w:tr>
      <w:tr w:rsidR="008137F3" w:rsidRPr="006F36FD" w14:paraId="03BE5CEB" w14:textId="77777777" w:rsidTr="00BC361F">
        <w:trPr>
          <w:trHeight w:val="337"/>
        </w:trPr>
        <w:tc>
          <w:tcPr>
            <w:tcW w:w="1843" w:type="dxa"/>
          </w:tcPr>
          <w:p w14:paraId="335E5E04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15F0171" w14:textId="179467CA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Résultats</w:t>
            </w:r>
          </w:p>
          <w:p w14:paraId="372BF791" w14:textId="30038055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5A1D24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0002A1A" w14:textId="46498AAE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977" w:type="dxa"/>
          </w:tcPr>
          <w:p w14:paraId="0F0FBA87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F9936FC" w14:textId="321C9F15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2268" w:type="dxa"/>
          </w:tcPr>
          <w:p w14:paraId="1226FCAF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B6961AB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Acteurs </w:t>
            </w:r>
          </w:p>
          <w:p w14:paraId="33DF584F" w14:textId="55595386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Impliqués</w:t>
            </w:r>
          </w:p>
        </w:tc>
        <w:tc>
          <w:tcPr>
            <w:tcW w:w="2835" w:type="dxa"/>
          </w:tcPr>
          <w:p w14:paraId="6C741245" w14:textId="7777777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643C0E" w14:textId="0DAE22A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Responsables</w:t>
            </w:r>
          </w:p>
        </w:tc>
        <w:tc>
          <w:tcPr>
            <w:tcW w:w="1134" w:type="dxa"/>
          </w:tcPr>
          <w:p w14:paraId="4FD72D8D" w14:textId="5A7AA6F7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8C5399B" w14:textId="7CB89273" w:rsidR="008137F3" w:rsidRPr="00032478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Budget</w:t>
            </w:r>
          </w:p>
          <w:p w14:paraId="4AEFFEDC" w14:textId="77E2126C" w:rsidR="008137F3" w:rsidRDefault="008137F3" w:rsidP="00024FE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Indicatif</w:t>
            </w:r>
          </w:p>
          <w:p w14:paraId="084DE723" w14:textId="77777777" w:rsidR="008137F3" w:rsidRDefault="007C6CFB" w:rsidP="007C6CF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(USD)</w:t>
            </w:r>
          </w:p>
          <w:p w14:paraId="0CA3AE66" w14:textId="34C1C276" w:rsidR="007C6CFB" w:rsidRPr="00032478" w:rsidRDefault="007C6CFB" w:rsidP="007C6CF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21D577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3967B87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A4BA4CB" w14:textId="4106F94B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425" w:type="dxa"/>
          </w:tcPr>
          <w:p w14:paraId="4C155E4F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57F9A1C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2FDCE45" w14:textId="6ACFEB3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426" w:type="dxa"/>
          </w:tcPr>
          <w:p w14:paraId="25E27401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1F7AD58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DDF14B1" w14:textId="7B8900FC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425" w:type="dxa"/>
          </w:tcPr>
          <w:p w14:paraId="1CE45151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581D31E" w14:textId="77777777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229AC29" w14:textId="7E1061B8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T4</w:t>
            </w:r>
          </w:p>
        </w:tc>
      </w:tr>
      <w:tr w:rsidR="008137F3" w:rsidRPr="006F36FD" w14:paraId="6EAE5F64" w14:textId="77777777" w:rsidTr="00EC163D">
        <w:trPr>
          <w:trHeight w:val="337"/>
        </w:trPr>
        <w:tc>
          <w:tcPr>
            <w:tcW w:w="16302" w:type="dxa"/>
            <w:gridSpan w:val="10"/>
            <w:shd w:val="clear" w:color="auto" w:fill="AEAAAA" w:themeFill="background2" w:themeFillShade="BF"/>
          </w:tcPr>
          <w:p w14:paraId="4597E163" w14:textId="5660B542" w:rsidR="008137F3" w:rsidRPr="00032478" w:rsidRDefault="008137F3" w:rsidP="00D16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Axe 1 : ENGAGEMENT AUPRES DES COMMUNAUTES</w:t>
            </w:r>
          </w:p>
        </w:tc>
      </w:tr>
      <w:tr w:rsidR="008137F3" w:rsidRPr="006F36FD" w14:paraId="28083088" w14:textId="77777777" w:rsidTr="00BC361F">
        <w:trPr>
          <w:trHeight w:val="337"/>
        </w:trPr>
        <w:tc>
          <w:tcPr>
            <w:tcW w:w="1843" w:type="dxa"/>
            <w:vMerge w:val="restart"/>
          </w:tcPr>
          <w:p w14:paraId="2B1A1CC4" w14:textId="77777777" w:rsidR="00336422" w:rsidRPr="00032478" w:rsidRDefault="00336422" w:rsidP="00336422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14:paraId="3E88D9DE" w14:textId="77777777" w:rsidR="00336422" w:rsidRPr="00032478" w:rsidRDefault="00336422" w:rsidP="00336422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14:paraId="5D9121D8" w14:textId="77777777" w:rsidR="00336422" w:rsidRPr="00032478" w:rsidRDefault="00336422" w:rsidP="00336422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14:paraId="70FCD1A1" w14:textId="77777777" w:rsidR="00336422" w:rsidRPr="00032478" w:rsidRDefault="00336422" w:rsidP="00336422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14:paraId="56535ED6" w14:textId="603E67C4" w:rsidR="008137F3" w:rsidRPr="00DB12D6" w:rsidRDefault="00242005" w:rsidP="00DB12D6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R1.</w:t>
            </w:r>
            <w:r w:rsidRPr="0003247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Des</w:t>
            </w:r>
            <w:r w:rsidR="00336422" w:rsidRPr="0003247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mécanismes sûrs, accessibles et adaptés aux besoins des victimes sont </w:t>
            </w:r>
            <w:r w:rsidR="00A234BA" w:rsidRPr="0003247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renforcés </w:t>
            </w:r>
            <w:r w:rsidR="00336422" w:rsidRPr="0003247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pour le rapportage des cas d’EAS au sein des communautés</w:t>
            </w:r>
          </w:p>
        </w:tc>
        <w:tc>
          <w:tcPr>
            <w:tcW w:w="3544" w:type="dxa"/>
          </w:tcPr>
          <w:p w14:paraId="44680589" w14:textId="77777777" w:rsidR="00336422" w:rsidRPr="00032478" w:rsidRDefault="00336422" w:rsidP="009A2C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2E21C" w14:textId="31122623" w:rsidR="00C90D91" w:rsidRPr="00242005" w:rsidRDefault="00242005" w:rsidP="00242005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A.1 </w:t>
            </w:r>
            <w:r w:rsidR="008137F3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Cartographier </w:t>
            </w:r>
            <w:r w:rsidR="00FE69FA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les mécanismes de plainte déjà existants </w:t>
            </w:r>
            <w:r w:rsidR="007916D1" w:rsidRPr="00242005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FE69FA" w:rsidRPr="00242005">
              <w:rPr>
                <w:rFonts w:asciiTheme="majorHAnsi" w:hAnsiTheme="majorHAnsi" w:cstheme="majorHAnsi"/>
                <w:sz w:val="20"/>
                <w:szCs w:val="20"/>
              </w:rPr>
              <w:t>ans les 10 départements</w:t>
            </w:r>
            <w:r w:rsidR="00296ABC" w:rsidRPr="0024200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90D91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6A10FB" w14:textId="77777777" w:rsidR="008137F3" w:rsidRPr="00032478" w:rsidRDefault="008137F3" w:rsidP="00DA77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6BF7D2" w14:textId="77777777" w:rsidR="00336422" w:rsidRPr="00032478" w:rsidRDefault="00336422" w:rsidP="00DD64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1655C7" w14:textId="281EDE47" w:rsidR="008137F3" w:rsidRPr="00032478" w:rsidRDefault="008E20AD" w:rsidP="00DD64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sz w:val="20"/>
                <w:szCs w:val="20"/>
              </w:rPr>
              <w:t>Cartographie</w:t>
            </w:r>
            <w:r w:rsidR="003D42A2" w:rsidRPr="00032478">
              <w:rPr>
                <w:rFonts w:asciiTheme="majorHAnsi" w:hAnsiTheme="majorHAnsi" w:cstheme="majorHAnsi"/>
                <w:sz w:val="20"/>
                <w:szCs w:val="20"/>
              </w:rPr>
              <w:t xml:space="preserve"> des mécanismes de plainte existants</w:t>
            </w:r>
            <w:r w:rsidR="002C75D8" w:rsidRPr="00032478">
              <w:rPr>
                <w:rFonts w:asciiTheme="majorHAnsi" w:hAnsiTheme="majorHAnsi" w:cstheme="majorHAnsi"/>
                <w:sz w:val="20"/>
                <w:szCs w:val="20"/>
              </w:rPr>
              <w:t xml:space="preserve"> dans les 10 départements</w:t>
            </w:r>
            <w:r w:rsidR="000573CC" w:rsidRPr="0003247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1A53D7" w14:textId="4ED89D46" w:rsidR="008E20AD" w:rsidRPr="00032478" w:rsidRDefault="008E20AD" w:rsidP="00DD64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332C3" w14:textId="77777777" w:rsidR="008137F3" w:rsidRPr="00032478" w:rsidRDefault="008137F3" w:rsidP="003D42A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</w:p>
          <w:p w14:paraId="5C0F0CBC" w14:textId="2A7EF4AF" w:rsidR="00377FD8" w:rsidRPr="00032478" w:rsidRDefault="008E20AD" w:rsidP="00296ABC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32478">
              <w:rPr>
                <w:rFonts w:asciiTheme="majorHAnsi" w:hAnsiTheme="majorHAnsi" w:cstheme="majorHAnsi"/>
                <w:sz w:val="20"/>
                <w:szCs w:val="20"/>
              </w:rPr>
              <w:t>Points focaux PEAS</w:t>
            </w:r>
          </w:p>
        </w:tc>
        <w:tc>
          <w:tcPr>
            <w:tcW w:w="2835" w:type="dxa"/>
          </w:tcPr>
          <w:p w14:paraId="16348290" w14:textId="77777777" w:rsidR="003D42A2" w:rsidRPr="00032478" w:rsidRDefault="003D42A2" w:rsidP="003D42A2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4154CE82" w14:textId="77777777" w:rsidR="00DE3D7B" w:rsidRDefault="00F54C98" w:rsidP="003D42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sz w:val="20"/>
                <w:szCs w:val="20"/>
              </w:rPr>
              <w:t>OPC</w:t>
            </w:r>
            <w:r w:rsidR="00387E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FE05DCE" w14:textId="5996F9B0" w:rsidR="008137F3" w:rsidRDefault="00DE3D7B" w:rsidP="003D42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387EDE">
              <w:rPr>
                <w:rFonts w:asciiTheme="majorHAnsi" w:hAnsiTheme="majorHAnsi" w:cstheme="majorHAnsi"/>
                <w:sz w:val="20"/>
                <w:szCs w:val="20"/>
              </w:rPr>
              <w:t>gences onusiennes</w:t>
            </w:r>
          </w:p>
          <w:p w14:paraId="3FF1AA8C" w14:textId="116DC85D" w:rsidR="00A002B2" w:rsidRPr="00032478" w:rsidRDefault="00A002B2" w:rsidP="003D42A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PEAS</w:t>
            </w:r>
          </w:p>
        </w:tc>
        <w:tc>
          <w:tcPr>
            <w:tcW w:w="1134" w:type="dxa"/>
          </w:tcPr>
          <w:p w14:paraId="02188025" w14:textId="77777777" w:rsidR="008137F3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86879E3" w14:textId="6B449E4F" w:rsidR="000A1301" w:rsidRPr="00032478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E163" w14:textId="2EE04355" w:rsidR="008137F3" w:rsidRPr="00032478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8B90B2" w14:textId="1D6B8701" w:rsidR="008137F3" w:rsidRPr="00032478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693ACEB5" w14:textId="652F9161" w:rsidR="008137F3" w:rsidRPr="00032478" w:rsidRDefault="00052C50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018F1FD" w14:textId="77777777" w:rsidR="008137F3" w:rsidRPr="00032478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77FD8" w:rsidRPr="006F36FD" w14:paraId="1C60DC4D" w14:textId="77777777" w:rsidTr="00BC361F">
        <w:trPr>
          <w:trHeight w:val="337"/>
        </w:trPr>
        <w:tc>
          <w:tcPr>
            <w:tcW w:w="1843" w:type="dxa"/>
            <w:vMerge/>
          </w:tcPr>
          <w:p w14:paraId="48593DB5" w14:textId="77777777" w:rsidR="00377FD8" w:rsidRPr="00032478" w:rsidRDefault="00377FD8" w:rsidP="00DD64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FC7A88" w14:textId="77777777" w:rsidR="009A2F95" w:rsidRPr="00032478" w:rsidRDefault="009A2F95" w:rsidP="009A2C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A2FA2" w14:textId="50365785" w:rsidR="00377FD8" w:rsidRPr="00032478" w:rsidRDefault="00242005" w:rsidP="009A2C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A.2 </w:t>
            </w:r>
            <w:r w:rsidR="00B55FD6" w:rsidRPr="00B55FD6">
              <w:rPr>
                <w:rFonts w:asciiTheme="majorHAnsi" w:hAnsiTheme="majorHAnsi" w:cstheme="majorHAnsi"/>
                <w:sz w:val="20"/>
                <w:szCs w:val="20"/>
              </w:rPr>
              <w:t>Vérifier que</w:t>
            </w:r>
            <w:r w:rsidR="008E20AD" w:rsidRPr="000324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6EEF" w:rsidRPr="00032478">
              <w:rPr>
                <w:rFonts w:asciiTheme="majorHAnsi" w:hAnsiTheme="majorHAnsi" w:cstheme="majorHAnsi"/>
                <w:sz w:val="20"/>
                <w:szCs w:val="20"/>
              </w:rPr>
              <w:t>les acteurs</w:t>
            </w:r>
            <w:r w:rsidR="00D87B37" w:rsidRPr="000324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6EEF" w:rsidRPr="00032478">
              <w:rPr>
                <w:rFonts w:asciiTheme="majorHAnsi" w:hAnsiTheme="majorHAnsi" w:cstheme="majorHAnsi"/>
                <w:sz w:val="20"/>
                <w:szCs w:val="20"/>
              </w:rPr>
              <w:t>recevant les plaintes des victimes</w:t>
            </w:r>
            <w:r w:rsidR="002900B5" w:rsidRPr="00032478">
              <w:rPr>
                <w:rFonts w:asciiTheme="majorHAnsi" w:hAnsiTheme="majorHAnsi" w:cstheme="majorHAnsi"/>
                <w:sz w:val="20"/>
                <w:szCs w:val="20"/>
              </w:rPr>
              <w:t xml:space="preserve"> d’EAS</w:t>
            </w:r>
            <w:r w:rsidR="00B55FD6">
              <w:rPr>
                <w:rFonts w:asciiTheme="majorHAnsi" w:hAnsiTheme="majorHAnsi" w:cstheme="majorHAnsi"/>
                <w:sz w:val="20"/>
                <w:szCs w:val="20"/>
              </w:rPr>
              <w:t xml:space="preserve"> sont formés à la PEAS.</w:t>
            </w:r>
          </w:p>
          <w:p w14:paraId="22A11914" w14:textId="2F7EE2A9" w:rsidR="00C90D91" w:rsidRPr="00032478" w:rsidRDefault="00C90D91" w:rsidP="009A2CB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6626D69A" w14:textId="77777777" w:rsidR="00502430" w:rsidRPr="00032478" w:rsidRDefault="00502430" w:rsidP="00DD64C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3E81E681" w14:textId="768A3355" w:rsidR="00377FD8" w:rsidRPr="00032478" w:rsidRDefault="003D42A2" w:rsidP="00DD64C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</w:pPr>
            <w:r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% des </w:t>
            </w:r>
            <w:r w:rsidR="00A234BA"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acteurs </w:t>
            </w:r>
            <w:r w:rsidR="00FE69FA"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recevant les plaintes des victime</w:t>
            </w:r>
            <w:r w:rsidR="005B3025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s</w:t>
            </w:r>
            <w:r w:rsidR="008E20AD"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d’EAS </w:t>
            </w:r>
            <w:r w:rsidR="0070579D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formés</w:t>
            </w:r>
            <w:r w:rsidR="00FE69FA"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 xml:space="preserve"> à la P</w:t>
            </w:r>
            <w:r w:rsidR="00480B43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EAS</w:t>
            </w:r>
            <w:r w:rsidR="0036492A" w:rsidRPr="00032478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.</w:t>
            </w:r>
          </w:p>
          <w:p w14:paraId="194BE351" w14:textId="2B1778CC" w:rsidR="008E20AD" w:rsidRPr="00032478" w:rsidRDefault="008E20AD" w:rsidP="00DD64C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A328FD8" w14:textId="77777777" w:rsidR="00377FD8" w:rsidRPr="00032478" w:rsidRDefault="00377FD8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</w:p>
          <w:p w14:paraId="0F5C661B" w14:textId="757FB483" w:rsidR="002C75D8" w:rsidRPr="00032478" w:rsidRDefault="00881C31" w:rsidP="002C75D8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81C31">
              <w:rPr>
                <w:rFonts w:asciiTheme="majorHAnsi" w:hAnsiTheme="majorHAnsi" w:cstheme="majorHAnsi"/>
                <w:sz w:val="20"/>
                <w:szCs w:val="20"/>
              </w:rPr>
              <w:t>Points focaux PEAS</w:t>
            </w:r>
          </w:p>
        </w:tc>
        <w:tc>
          <w:tcPr>
            <w:tcW w:w="2835" w:type="dxa"/>
          </w:tcPr>
          <w:p w14:paraId="7F8FE1AA" w14:textId="77777777" w:rsidR="00052C50" w:rsidRDefault="00052C50" w:rsidP="00052C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8CE040" w14:textId="76989234" w:rsidR="00052C50" w:rsidRDefault="00052C50" w:rsidP="002C75D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Sous-groupe de travail TF PEAS</w:t>
            </w:r>
          </w:p>
          <w:p w14:paraId="66C5DED1" w14:textId="4DD12BDF" w:rsidR="00377FD8" w:rsidRPr="00032478" w:rsidRDefault="00B504B1" w:rsidP="002C75D8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504B1"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1870B4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</w:tcPr>
          <w:p w14:paraId="09B45C69" w14:textId="77777777" w:rsidR="005A3CAB" w:rsidRDefault="005A3CAB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001DCEE" w14:textId="57AB8CC7" w:rsidR="000A1301" w:rsidRPr="00032478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56A9A" w14:textId="77777777" w:rsidR="00377FD8" w:rsidRPr="00032478" w:rsidRDefault="00377FD8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7957A" w14:textId="77777777" w:rsidR="00377FD8" w:rsidRPr="00032478" w:rsidRDefault="00377FD8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20E22CA" w14:textId="5459999C" w:rsidR="00377FD8" w:rsidRPr="00032478" w:rsidRDefault="00D87B37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3598570" w14:textId="0C66CF11" w:rsidR="00377FD8" w:rsidRPr="00032478" w:rsidRDefault="00D87B37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24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4939C9" w:rsidRPr="006F36FD" w14:paraId="33F75265" w14:textId="77777777" w:rsidTr="00BC361F">
        <w:trPr>
          <w:trHeight w:val="1353"/>
        </w:trPr>
        <w:tc>
          <w:tcPr>
            <w:tcW w:w="1843" w:type="dxa"/>
            <w:vMerge/>
          </w:tcPr>
          <w:p w14:paraId="1D518B95" w14:textId="77777777" w:rsidR="004939C9" w:rsidRPr="00032478" w:rsidRDefault="004939C9" w:rsidP="00DD64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35721B" w14:textId="77777777" w:rsidR="00DA33A2" w:rsidRPr="00C464E3" w:rsidRDefault="00DA33A2" w:rsidP="009A2C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4A805" w14:textId="7AD6E8E2" w:rsidR="00DB12D6" w:rsidRPr="00DB12D6" w:rsidRDefault="00242005" w:rsidP="009A2C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A.3 </w:t>
            </w:r>
            <w:r w:rsidR="004939C9" w:rsidRPr="00C464E3">
              <w:rPr>
                <w:rFonts w:asciiTheme="majorHAnsi" w:hAnsiTheme="majorHAnsi" w:cstheme="majorHAnsi"/>
                <w:sz w:val="20"/>
                <w:szCs w:val="20"/>
              </w:rPr>
              <w:t xml:space="preserve">Sensibiliser les communautés à </w:t>
            </w:r>
            <w:r w:rsidR="00DD553E" w:rsidRPr="00C464E3">
              <w:rPr>
                <w:rFonts w:asciiTheme="majorHAnsi" w:hAnsiTheme="majorHAnsi" w:cstheme="majorHAnsi"/>
                <w:sz w:val="20"/>
                <w:szCs w:val="20"/>
              </w:rPr>
              <w:t>la P</w:t>
            </w:r>
            <w:r w:rsidR="005A3CAB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  <w:r w:rsidR="00DD553E" w:rsidRPr="00C464E3">
              <w:rPr>
                <w:rFonts w:asciiTheme="majorHAnsi" w:hAnsiTheme="majorHAnsi" w:cstheme="majorHAnsi"/>
                <w:sz w:val="20"/>
                <w:szCs w:val="20"/>
              </w:rPr>
              <w:t xml:space="preserve"> et à </w:t>
            </w:r>
            <w:r w:rsidR="004939C9" w:rsidRPr="00C464E3">
              <w:rPr>
                <w:rFonts w:asciiTheme="majorHAnsi" w:hAnsiTheme="majorHAnsi" w:cstheme="majorHAnsi"/>
                <w:sz w:val="20"/>
                <w:szCs w:val="20"/>
              </w:rPr>
              <w:t xml:space="preserve">l’existence de mécanismes de plaintes </w:t>
            </w:r>
            <w:r w:rsidR="00DD553E" w:rsidRPr="00C464E3">
              <w:rPr>
                <w:rFonts w:asciiTheme="majorHAnsi" w:hAnsiTheme="majorHAnsi" w:cstheme="majorHAnsi"/>
                <w:sz w:val="20"/>
                <w:szCs w:val="20"/>
              </w:rPr>
              <w:t>sûrs et confidentiels</w:t>
            </w:r>
            <w:r w:rsidR="00DB12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7820052" w14:textId="77777777" w:rsidR="00DA33A2" w:rsidRPr="005D2E8E" w:rsidRDefault="00DA33A2" w:rsidP="00DA33A2">
            <w:pPr>
              <w:pStyle w:val="Commentaire"/>
              <w:rPr>
                <w:rFonts w:asciiTheme="majorHAnsi" w:hAnsiTheme="majorHAnsi" w:cstheme="majorHAnsi"/>
              </w:rPr>
            </w:pPr>
          </w:p>
          <w:p w14:paraId="273A68EA" w14:textId="656B1E44" w:rsidR="004B29D6" w:rsidRPr="005D2E8E" w:rsidRDefault="00015128" w:rsidP="00DA33A2">
            <w:pPr>
              <w:pStyle w:val="Commentaire"/>
              <w:rPr>
                <w:rFonts w:asciiTheme="majorHAnsi" w:hAnsiTheme="majorHAnsi" w:cstheme="majorHAnsi"/>
              </w:rPr>
            </w:pPr>
            <w:r w:rsidRPr="005D2E8E">
              <w:rPr>
                <w:rFonts w:asciiTheme="majorHAnsi" w:hAnsiTheme="majorHAnsi" w:cstheme="majorHAnsi"/>
              </w:rPr>
              <w:t xml:space="preserve">Nombre de personnes qui ont accès </w:t>
            </w:r>
            <w:r w:rsidR="00987796" w:rsidRPr="005D2E8E">
              <w:rPr>
                <w:rFonts w:asciiTheme="majorHAnsi" w:hAnsiTheme="majorHAnsi" w:cstheme="majorHAnsi"/>
              </w:rPr>
              <w:t>à</w:t>
            </w:r>
            <w:r w:rsidRPr="005D2E8E">
              <w:rPr>
                <w:rFonts w:asciiTheme="majorHAnsi" w:hAnsiTheme="majorHAnsi" w:cstheme="majorHAnsi"/>
              </w:rPr>
              <w:t xml:space="preserve"> des mécanismes de plaintes sûrs et confidentiels</w:t>
            </w:r>
            <w:r w:rsidR="00DB12D6" w:rsidRPr="005D2E8E">
              <w:rPr>
                <w:rFonts w:asciiTheme="majorHAnsi" w:hAnsiTheme="majorHAnsi" w:cstheme="majorHAnsi"/>
              </w:rPr>
              <w:t>.</w:t>
            </w:r>
          </w:p>
          <w:p w14:paraId="1C8EC04E" w14:textId="59750D63" w:rsidR="00987796" w:rsidRPr="005D2E8E" w:rsidRDefault="00987796" w:rsidP="00DA33A2">
            <w:pPr>
              <w:pStyle w:val="Commentaire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0A0C2BC" w14:textId="77777777" w:rsidR="00896150" w:rsidRPr="005D2E8E" w:rsidRDefault="00896150" w:rsidP="00DB12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634920" w14:textId="0FD68C45" w:rsidR="00DB12D6" w:rsidRPr="005D2E8E" w:rsidRDefault="00DB12D6" w:rsidP="00DB12D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 xml:space="preserve">Ministère </w:t>
            </w:r>
            <w:r w:rsidR="00C3257C" w:rsidRPr="005D2E8E">
              <w:rPr>
                <w:rFonts w:asciiTheme="majorHAnsi" w:hAnsiTheme="majorHAnsi" w:cstheme="majorHAnsi"/>
                <w:sz w:val="20"/>
                <w:szCs w:val="20"/>
              </w:rPr>
              <w:t>à</w:t>
            </w: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 xml:space="preserve"> la condition féminine </w:t>
            </w:r>
            <w:r w:rsidR="00C3257C" w:rsidRPr="005D2E8E">
              <w:rPr>
                <w:rFonts w:asciiTheme="majorHAnsi" w:hAnsiTheme="majorHAnsi" w:cstheme="majorHAnsi"/>
                <w:sz w:val="20"/>
                <w:szCs w:val="20"/>
              </w:rPr>
              <w:t>et aux droits des femmes</w:t>
            </w:r>
          </w:p>
          <w:p w14:paraId="1CBA9994" w14:textId="3B9C3076" w:rsidR="00896150" w:rsidRPr="005D2E8E" w:rsidRDefault="00DB12D6" w:rsidP="000A13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5D2E8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Attente d’une réponse</w:t>
            </w: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B7426CF" w14:textId="378C4EDF" w:rsidR="00896150" w:rsidRPr="005D2E8E" w:rsidRDefault="00896150" w:rsidP="006A77D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59CAD5B3" w14:textId="77777777" w:rsidR="00DB12D6" w:rsidRPr="005D2E8E" w:rsidRDefault="00DB12D6" w:rsidP="00DB12D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0BA5FB67" w14:textId="1DBDA0C5" w:rsidR="00DB12D6" w:rsidRPr="005D2E8E" w:rsidRDefault="00052C50" w:rsidP="00DB12D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>Sous-g</w:t>
            </w:r>
            <w:r w:rsidR="00DB12D6" w:rsidRPr="005D2E8E">
              <w:rPr>
                <w:rFonts w:asciiTheme="majorHAnsi" w:hAnsiTheme="majorHAnsi" w:cstheme="majorHAnsi"/>
                <w:sz w:val="20"/>
                <w:szCs w:val="20"/>
              </w:rPr>
              <w:t>roupe</w:t>
            </w: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 xml:space="preserve"> de travail </w:t>
            </w:r>
            <w:r w:rsidR="00DB12D6" w:rsidRPr="005D2E8E">
              <w:rPr>
                <w:rFonts w:asciiTheme="majorHAnsi" w:hAnsiTheme="majorHAnsi" w:cstheme="majorHAnsi"/>
                <w:sz w:val="20"/>
                <w:szCs w:val="20"/>
              </w:rPr>
              <w:t>TF</w:t>
            </w: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 xml:space="preserve"> PEAS</w:t>
            </w:r>
          </w:p>
          <w:p w14:paraId="2201AF10" w14:textId="297A4541" w:rsidR="00052C50" w:rsidRPr="005D2E8E" w:rsidRDefault="00052C50" w:rsidP="00DB12D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D2E8E">
              <w:rPr>
                <w:rFonts w:asciiTheme="majorHAnsi" w:hAnsiTheme="majorHAnsi" w:cstheme="majorHAnsi"/>
                <w:sz w:val="20"/>
                <w:szCs w:val="20"/>
              </w:rPr>
              <w:t>Coordinatrice PEAS</w:t>
            </w:r>
          </w:p>
        </w:tc>
        <w:tc>
          <w:tcPr>
            <w:tcW w:w="1134" w:type="dxa"/>
          </w:tcPr>
          <w:p w14:paraId="6E95AD70" w14:textId="77777777" w:rsidR="004939C9" w:rsidRDefault="004939C9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5A5C6D0" w14:textId="3AA499C2" w:rsidR="000A1301" w:rsidRPr="00032478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3C8F6C6" w14:textId="1FDA63FE" w:rsidR="00DB12D6" w:rsidRPr="00032478" w:rsidRDefault="00DB12D6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AFE245" w14:textId="6C83ECAB" w:rsidR="004939C9" w:rsidRPr="00032478" w:rsidRDefault="0070579D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98850D3" w14:textId="74A4A8CC" w:rsidR="004939C9" w:rsidRPr="007C01E5" w:rsidRDefault="007C01E5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D918DBC" w14:textId="77A10372" w:rsidR="004939C9" w:rsidRPr="007C01E5" w:rsidRDefault="007C01E5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50626E5B" w14:textId="77777777" w:rsidTr="00EC163D">
        <w:trPr>
          <w:trHeight w:val="337"/>
        </w:trPr>
        <w:tc>
          <w:tcPr>
            <w:tcW w:w="15877" w:type="dxa"/>
            <w:gridSpan w:val="9"/>
            <w:shd w:val="clear" w:color="auto" w:fill="AEAAAA" w:themeFill="background2" w:themeFillShade="BF"/>
          </w:tcPr>
          <w:p w14:paraId="4522DF03" w14:textId="4A8AE369" w:rsidR="008137F3" w:rsidRPr="006F36FD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54A6">
              <w:rPr>
                <w:rFonts w:asciiTheme="majorHAnsi" w:hAnsiTheme="majorHAnsi"/>
                <w:b/>
                <w:bCs/>
                <w:sz w:val="24"/>
                <w:szCs w:val="24"/>
              </w:rPr>
              <w:t>Axe 2 : PREVENTION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65D25060" w14:textId="77777777" w:rsidR="008137F3" w:rsidRPr="006F36FD" w:rsidRDefault="008137F3" w:rsidP="00DD64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137F3" w:rsidRPr="006F36FD" w14:paraId="0EA0EB87" w14:textId="77777777" w:rsidTr="00BC361F">
        <w:trPr>
          <w:trHeight w:val="337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36537893" w14:textId="77777777" w:rsidR="008137F3" w:rsidRPr="00EA15BE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3D91B6" w14:textId="77777777" w:rsidR="008137F3" w:rsidRPr="00EA15BE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9C914" w14:textId="77777777" w:rsidR="008137F3" w:rsidRPr="00EA15BE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89D1FF" w14:textId="02DA7B4A" w:rsidR="008137F3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2B87F95" w14:textId="77777777" w:rsidR="007916D1" w:rsidRDefault="007916D1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0A209AC" w14:textId="77777777" w:rsidR="0078178C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13A0835" w14:textId="77777777" w:rsidR="0078178C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BAF70BA" w14:textId="77777777" w:rsidR="0078178C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5604725" w14:textId="6EF2AFAC" w:rsidR="008137F3" w:rsidRPr="0078178C" w:rsidRDefault="0024200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R2. </w:t>
            </w:r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</w:t>
            </w:r>
            <w:r w:rsidR="008137F3" w:rsidRPr="00836C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personnel et les partenaires des Nations Unies</w:t>
            </w:r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8137F3" w:rsidRPr="00836C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 ONGI</w:t>
            </w:r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des </w:t>
            </w:r>
            <w:proofErr w:type="spellStart"/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ONGs</w:t>
            </w:r>
            <w:proofErr w:type="spellEnd"/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nationales</w:t>
            </w:r>
            <w:r w:rsidR="008137F3" w:rsidRPr="00836C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sont informés et conscients des politiques et des mécanismes existants en matière de PEAS</w:t>
            </w:r>
            <w:r w:rsidR="008137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14:paraId="57DBB933" w14:textId="77777777" w:rsidR="00BF650A" w:rsidRPr="00DE0DC6" w:rsidRDefault="00BF650A" w:rsidP="007E299B">
            <w:pPr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bookmarkStart w:id="0" w:name="_Hlk61365712"/>
          </w:p>
          <w:p w14:paraId="7B9A92CF" w14:textId="3C6B1770" w:rsidR="008137F3" w:rsidRPr="00DE0DC6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A1. </w:t>
            </w:r>
            <w:r w:rsidR="007B77D2" w:rsidRPr="00DE0DC6">
              <w:rPr>
                <w:rFonts w:asciiTheme="majorHAnsi" w:hAnsiTheme="majorHAnsi" w:cstheme="majorHAnsi"/>
                <w:sz w:val="20"/>
                <w:szCs w:val="20"/>
              </w:rPr>
              <w:t>Imprimer des posters</w:t>
            </w:r>
            <w:r w:rsidR="008137F3" w:rsidRPr="00DE0DC6">
              <w:rPr>
                <w:rFonts w:asciiTheme="majorHAnsi" w:hAnsiTheme="majorHAnsi" w:cstheme="majorHAnsi"/>
                <w:sz w:val="20"/>
                <w:szCs w:val="20"/>
              </w:rPr>
              <w:t xml:space="preserve"> relatif</w:t>
            </w:r>
            <w:r w:rsidR="007B77D2" w:rsidRPr="00DE0DC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8137F3" w:rsidRPr="00DE0DC6">
              <w:rPr>
                <w:rFonts w:asciiTheme="majorHAnsi" w:hAnsiTheme="majorHAnsi" w:cstheme="majorHAnsi"/>
                <w:sz w:val="20"/>
                <w:szCs w:val="20"/>
              </w:rPr>
              <w:t xml:space="preserve"> à la PEAS et l</w:t>
            </w:r>
            <w:r w:rsidR="007B77D2" w:rsidRPr="00DE0DC6">
              <w:rPr>
                <w:rFonts w:asciiTheme="majorHAnsi" w:hAnsiTheme="majorHAnsi" w:cstheme="majorHAnsi"/>
                <w:sz w:val="20"/>
                <w:szCs w:val="20"/>
              </w:rPr>
              <w:t xml:space="preserve">es </w:t>
            </w:r>
            <w:r w:rsidR="008137F3" w:rsidRPr="00DE0DC6">
              <w:rPr>
                <w:rFonts w:asciiTheme="majorHAnsi" w:hAnsiTheme="majorHAnsi" w:cstheme="majorHAnsi"/>
                <w:sz w:val="20"/>
                <w:szCs w:val="20"/>
              </w:rPr>
              <w:t xml:space="preserve">afficher au sein </w:t>
            </w:r>
            <w:r w:rsidR="00987796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  <w:r w:rsidR="008137F3" w:rsidRPr="00DE0DC6">
              <w:rPr>
                <w:rFonts w:asciiTheme="majorHAnsi" w:hAnsiTheme="majorHAnsi" w:cstheme="majorHAnsi"/>
                <w:sz w:val="20"/>
                <w:szCs w:val="20"/>
              </w:rPr>
              <w:t xml:space="preserve"> agences et des organisations.</w:t>
            </w:r>
            <w:bookmarkEnd w:id="0"/>
          </w:p>
          <w:p w14:paraId="7BE2898D" w14:textId="5733DC62" w:rsidR="008137F3" w:rsidRPr="00DE0DC6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545A97" w14:textId="77777777" w:rsidR="00BF650A" w:rsidRPr="00DE0DC6" w:rsidRDefault="00BF650A" w:rsidP="007E29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CC3D3FE" w14:textId="26C9544D" w:rsidR="008137F3" w:rsidRPr="00DE0DC6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  <w:r w:rsidR="007B77D2"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 agences et organisations ayant affiché</w:t>
            </w:r>
            <w:r w:rsidR="00DA33A2"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B77D2"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dans leurs locaux </w:t>
            </w:r>
            <w:r w:rsidR="00C325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7B77D2"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 affiches</w:t>
            </w:r>
            <w:r w:rsidRPr="00DE0D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577A9FD" w14:textId="77777777" w:rsidR="00BF650A" w:rsidRPr="00DE0DC6" w:rsidRDefault="00BF650A" w:rsidP="00306A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317AC2" w14:textId="372485F8" w:rsidR="00B8656F" w:rsidRPr="00251A75" w:rsidRDefault="00DF3962" w:rsidP="00306A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Agences et organisations</w:t>
            </w:r>
          </w:p>
          <w:p w14:paraId="3FA89529" w14:textId="3D2EDB1A" w:rsidR="008137F3" w:rsidRPr="00DE0DC6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7150EA" w14:textId="77777777" w:rsidR="00BF650A" w:rsidRPr="00DE0DC6" w:rsidRDefault="00BF650A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6C282" w14:textId="77777777" w:rsidR="00D748EB" w:rsidRDefault="00251A7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UNFPA</w:t>
            </w:r>
          </w:p>
          <w:p w14:paraId="2E860318" w14:textId="600F4AE5" w:rsidR="00251A75" w:rsidRPr="00DE0DC6" w:rsidRDefault="00251A7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5CCE3BBD" w14:textId="18601F7C" w:rsidR="008137F3" w:rsidRPr="00DE0DC6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D6A41D" w14:textId="0C147831" w:rsidR="008137F3" w:rsidRPr="00DE0DC6" w:rsidRDefault="0018363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3B62E04D" w14:textId="4F8F7C82" w:rsidR="008137F3" w:rsidRPr="00DE0DC6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0D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5B43B5E0" w14:textId="4EA8661F" w:rsidR="008137F3" w:rsidRPr="00DE0DC6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0D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FA52C4A" w14:textId="2D62A228" w:rsidR="008137F3" w:rsidRPr="00DE0DC6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0D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C464E3" w:rsidRPr="006F36FD" w14:paraId="39EB8917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4A37E5AF" w14:textId="77777777" w:rsidR="00C464E3" w:rsidRPr="00EA15BE" w:rsidRDefault="00C464E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95CC2D5" w14:textId="7D8A444C" w:rsidR="00C464E3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A.2 </w:t>
            </w:r>
            <w:r w:rsidR="00BE0EF3">
              <w:rPr>
                <w:rFonts w:asciiTheme="majorHAnsi" w:hAnsiTheme="majorHAnsi" w:cstheme="majorHAnsi"/>
                <w:sz w:val="20"/>
                <w:szCs w:val="20"/>
              </w:rPr>
              <w:t>Faire signer aux</w:t>
            </w:r>
            <w:r w:rsidR="004E0DE2" w:rsidRPr="005723E9">
              <w:rPr>
                <w:rFonts w:asciiTheme="majorHAnsi" w:hAnsiTheme="majorHAnsi" w:cstheme="majorHAnsi"/>
                <w:sz w:val="20"/>
                <w:szCs w:val="20"/>
              </w:rPr>
              <w:t xml:space="preserve"> chefs d’agences et </w:t>
            </w:r>
            <w:r w:rsidR="00BE0EF3">
              <w:rPr>
                <w:rFonts w:asciiTheme="majorHAnsi" w:hAnsiTheme="majorHAnsi" w:cstheme="majorHAnsi"/>
                <w:sz w:val="20"/>
                <w:szCs w:val="20"/>
              </w:rPr>
              <w:t>aux</w:t>
            </w:r>
            <w:r w:rsidR="003F274C">
              <w:rPr>
                <w:rFonts w:asciiTheme="majorHAnsi" w:hAnsiTheme="majorHAnsi" w:cstheme="majorHAnsi"/>
                <w:sz w:val="20"/>
                <w:szCs w:val="20"/>
              </w:rPr>
              <w:t xml:space="preserve"> représentants</w:t>
            </w:r>
            <w:r w:rsidR="004E0DE2" w:rsidRPr="005723E9">
              <w:rPr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r w:rsidR="003F274C">
              <w:rPr>
                <w:rFonts w:asciiTheme="majorHAnsi" w:hAnsiTheme="majorHAnsi" w:cstheme="majorHAnsi"/>
                <w:sz w:val="20"/>
                <w:szCs w:val="20"/>
              </w:rPr>
              <w:t xml:space="preserve">es </w:t>
            </w:r>
            <w:r w:rsidR="004E0DE2" w:rsidRPr="005723E9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  <w:r w:rsidR="005723E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E0DE2" w:rsidRPr="005723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6500">
              <w:rPr>
                <w:rFonts w:asciiTheme="majorHAnsi" w:hAnsiTheme="majorHAnsi" w:cstheme="majorHAnsi"/>
                <w:sz w:val="20"/>
                <w:szCs w:val="20"/>
              </w:rPr>
              <w:t xml:space="preserve">une attestation d’engagement </w:t>
            </w:r>
            <w:r w:rsidR="00B55D37">
              <w:rPr>
                <w:rFonts w:asciiTheme="majorHAnsi" w:hAnsiTheme="majorHAnsi" w:cstheme="majorHAnsi"/>
                <w:sz w:val="20"/>
                <w:szCs w:val="20"/>
              </w:rPr>
              <w:t>pour</w:t>
            </w:r>
            <w:r w:rsidR="0031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5D37">
              <w:rPr>
                <w:rFonts w:asciiTheme="majorHAnsi" w:hAnsiTheme="majorHAnsi" w:cstheme="majorHAnsi"/>
                <w:sz w:val="20"/>
                <w:szCs w:val="20"/>
              </w:rPr>
              <w:t xml:space="preserve">vulgariser et </w:t>
            </w:r>
            <w:r w:rsidR="0031650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B55D37">
              <w:rPr>
                <w:rFonts w:asciiTheme="majorHAnsi" w:hAnsiTheme="majorHAnsi" w:cstheme="majorHAnsi"/>
                <w:sz w:val="20"/>
                <w:szCs w:val="20"/>
              </w:rPr>
              <w:t xml:space="preserve">ettre </w:t>
            </w:r>
            <w:r w:rsidR="00316500">
              <w:rPr>
                <w:rFonts w:asciiTheme="majorHAnsi" w:hAnsiTheme="majorHAnsi" w:cstheme="majorHAnsi"/>
                <w:sz w:val="20"/>
                <w:szCs w:val="20"/>
              </w:rPr>
              <w:t xml:space="preserve">en œuvre la politique </w:t>
            </w:r>
            <w:r w:rsidR="000C4C1D">
              <w:rPr>
                <w:rFonts w:asciiTheme="majorHAnsi" w:hAnsiTheme="majorHAnsi" w:cstheme="majorHAnsi"/>
                <w:sz w:val="20"/>
                <w:szCs w:val="20"/>
              </w:rPr>
              <w:t xml:space="preserve">universelle de la </w:t>
            </w:r>
            <w:r w:rsidR="00316500">
              <w:rPr>
                <w:rFonts w:asciiTheme="majorHAnsi" w:hAnsiTheme="majorHAnsi" w:cstheme="majorHAnsi"/>
                <w:sz w:val="20"/>
                <w:szCs w:val="20"/>
              </w:rPr>
              <w:t>PEAS</w:t>
            </w:r>
            <w:r w:rsidR="0098779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D733BA5" w14:textId="16E7E584" w:rsidR="00316500" w:rsidRPr="00DE0DC6" w:rsidRDefault="00316500" w:rsidP="00B55D37">
            <w:pPr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C41750" w14:textId="599EE4B0" w:rsidR="00733409" w:rsidRPr="00DE0DC6" w:rsidRDefault="004E0DE2" w:rsidP="007E29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  <w:r w:rsidR="003165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d’attestions signées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165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 les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chefs d’agences et</w:t>
            </w:r>
            <w:r w:rsidR="003165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 les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directeurs d’organisation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05BF20E6" w14:textId="6C159C30" w:rsidR="00C464E3" w:rsidRPr="00DE0DC6" w:rsidRDefault="007D30F8" w:rsidP="00306A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Représentants des agences et directeurs des organisations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B1CB6" w14:textId="2FBB23A8" w:rsidR="000C4C1D" w:rsidRDefault="000C4C1D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Points focaux PEAS</w:t>
            </w:r>
          </w:p>
          <w:p w14:paraId="105DB9F3" w14:textId="3FB80DED" w:rsidR="007D30F8" w:rsidRPr="00DE0DC6" w:rsidRDefault="007D30F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F3EC51" w14:textId="77777777" w:rsidR="00C464E3" w:rsidRDefault="00C464E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6B36110" w14:textId="46F0A113" w:rsidR="000A1301" w:rsidRPr="00DE0DC6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9F8F15" w14:textId="438157F5" w:rsidR="00C464E3" w:rsidRPr="00DE0DC6" w:rsidRDefault="0018363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3641049A" w14:textId="54181D4E" w:rsidR="00C464E3" w:rsidRPr="00DE0DC6" w:rsidRDefault="0018363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775A57F7" w14:textId="3C29283B" w:rsidR="00C464E3" w:rsidRPr="00DE0DC6" w:rsidRDefault="0018363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5FED9EA2" w14:textId="11F932AF" w:rsidR="00C464E3" w:rsidRPr="00DE0DC6" w:rsidRDefault="0018363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102FDD05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574D4C33" w14:textId="2E0A2CAB" w:rsidR="008137F3" w:rsidRPr="00EA15BE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FC16DAE" w14:textId="419510E7" w:rsidR="008137F3" w:rsidRPr="00242005" w:rsidRDefault="00242005" w:rsidP="002420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A.3 </w:t>
            </w:r>
            <w:r w:rsidR="008137F3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Vérifier </w:t>
            </w:r>
            <w:r w:rsidR="00BB7B17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chaque trimestre </w:t>
            </w:r>
            <w:r w:rsidR="008137F3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que le personnel des </w:t>
            </w:r>
            <w:r w:rsidR="00B657AF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agences onusiennes, des partenaires d’implémentation, des ONGI, des </w:t>
            </w:r>
            <w:proofErr w:type="spellStart"/>
            <w:r w:rsidR="00B657AF" w:rsidRPr="00242005">
              <w:rPr>
                <w:rFonts w:asciiTheme="majorHAnsi" w:hAnsiTheme="majorHAnsi" w:cstheme="majorHAnsi"/>
                <w:sz w:val="20"/>
                <w:szCs w:val="20"/>
              </w:rPr>
              <w:t>ONG</w:t>
            </w:r>
            <w:r w:rsidR="009E629C" w:rsidRPr="0024200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 w:rsidR="00B657AF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 nationales ont suivi les formations obligatoires sur la PEAS</w:t>
            </w:r>
            <w:r w:rsidR="000F6EF5" w:rsidRPr="0024200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5FF10AC" w14:textId="553F7D94" w:rsidR="008137F3" w:rsidRPr="00BB7B17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9BF03E" w14:textId="42E2DA37" w:rsidR="008137F3" w:rsidRPr="00BB7B17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7B17">
              <w:rPr>
                <w:rFonts w:asciiTheme="majorHAnsi" w:hAnsiTheme="majorHAnsi" w:cstheme="majorHAnsi"/>
                <w:sz w:val="20"/>
                <w:szCs w:val="20"/>
              </w:rPr>
              <w:t>% d</w:t>
            </w:r>
            <w:r w:rsidR="00987796">
              <w:rPr>
                <w:rFonts w:asciiTheme="majorHAnsi" w:hAnsiTheme="majorHAnsi" w:cstheme="majorHAnsi"/>
                <w:sz w:val="20"/>
                <w:szCs w:val="20"/>
              </w:rPr>
              <w:t xml:space="preserve">u </w:t>
            </w:r>
            <w:r w:rsidRPr="00BB7B17">
              <w:rPr>
                <w:rFonts w:asciiTheme="majorHAnsi" w:hAnsiTheme="majorHAnsi" w:cstheme="majorHAnsi"/>
                <w:sz w:val="20"/>
                <w:szCs w:val="20"/>
              </w:rPr>
              <w:t xml:space="preserve">personnel </w:t>
            </w:r>
            <w:r w:rsidR="005D2722">
              <w:rPr>
                <w:rFonts w:asciiTheme="majorHAnsi" w:hAnsiTheme="majorHAnsi" w:cstheme="majorHAnsi"/>
                <w:sz w:val="20"/>
                <w:szCs w:val="20"/>
              </w:rPr>
              <w:t>ayant suivi les formations PEAS</w:t>
            </w:r>
          </w:p>
          <w:p w14:paraId="652F62D6" w14:textId="32FBE564" w:rsidR="008137F3" w:rsidRPr="00BB7B17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EF891A" w14:textId="04778CF3" w:rsidR="008137F3" w:rsidRPr="007B53BC" w:rsidRDefault="00C912BE" w:rsidP="007E299B">
            <w:pPr>
              <w:rPr>
                <w:rFonts w:asciiTheme="majorHAnsi" w:hAnsiTheme="majorHAnsi" w:cstheme="majorHAnsi"/>
                <w:b/>
                <w:bCs/>
                <w:strike/>
                <w:sz w:val="20"/>
                <w:szCs w:val="20"/>
              </w:rPr>
            </w:pPr>
            <w:r w:rsidRPr="00BB7B17">
              <w:rPr>
                <w:rFonts w:asciiTheme="majorHAnsi" w:hAnsiTheme="majorHAnsi" w:cstheme="majorHAnsi"/>
                <w:sz w:val="20"/>
                <w:szCs w:val="20"/>
              </w:rPr>
              <w:t>Toutes les agence/organisations</w:t>
            </w:r>
          </w:p>
        </w:tc>
        <w:tc>
          <w:tcPr>
            <w:tcW w:w="2835" w:type="dxa"/>
            <w:shd w:val="clear" w:color="auto" w:fill="FFFFFF" w:themeFill="background1"/>
          </w:tcPr>
          <w:p w14:paraId="1DDF885E" w14:textId="6372DAD1" w:rsidR="005D2722" w:rsidRDefault="005D2722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Points focaux PEAS</w:t>
            </w:r>
          </w:p>
          <w:p w14:paraId="10EAD900" w14:textId="52CF39DD" w:rsidR="005D2722" w:rsidRPr="005D2722" w:rsidRDefault="005D2722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20088F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BE0BA" w14:textId="5E06D39A" w:rsidR="008137F3" w:rsidRPr="00EA15BE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08F90B" w14:textId="134BB11B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6446DAAF" w14:textId="59D61533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0D40548D" w14:textId="04F82ECE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77F86B0E" w14:textId="4028502E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206559" w:rsidRPr="006F36FD" w14:paraId="142D090D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563EA9B0" w14:textId="77777777" w:rsidR="00206559" w:rsidRPr="00EA15BE" w:rsidRDefault="0020655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C185979" w14:textId="02E72713" w:rsidR="00206559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A.4 </w:t>
            </w:r>
            <w:r w:rsidR="00DA33A2">
              <w:rPr>
                <w:rFonts w:asciiTheme="majorHAnsi" w:hAnsiTheme="majorHAnsi" w:cstheme="majorHAnsi"/>
                <w:sz w:val="20"/>
                <w:szCs w:val="20"/>
              </w:rPr>
              <w:t xml:space="preserve">Vérifier que </w:t>
            </w:r>
            <w:r w:rsidR="00206559" w:rsidRPr="00D91C98">
              <w:rPr>
                <w:rFonts w:asciiTheme="majorHAnsi" w:hAnsiTheme="majorHAnsi" w:cstheme="majorHAnsi"/>
                <w:sz w:val="20"/>
                <w:szCs w:val="20"/>
              </w:rPr>
              <w:t xml:space="preserve">les points focaux </w:t>
            </w:r>
            <w:r w:rsidR="00507D90">
              <w:rPr>
                <w:rFonts w:asciiTheme="majorHAnsi" w:hAnsiTheme="majorHAnsi" w:cstheme="majorHAnsi"/>
                <w:sz w:val="20"/>
                <w:szCs w:val="20"/>
              </w:rPr>
              <w:t xml:space="preserve">PEAS </w:t>
            </w:r>
            <w:r w:rsidR="0044672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BB06FC">
              <w:rPr>
                <w:rFonts w:asciiTheme="majorHAnsi" w:hAnsiTheme="majorHAnsi" w:cstheme="majorHAnsi"/>
                <w:sz w:val="20"/>
                <w:szCs w:val="20"/>
              </w:rPr>
              <w:t xml:space="preserve">ont </w:t>
            </w:r>
            <w:r w:rsidR="00446729">
              <w:rPr>
                <w:rFonts w:asciiTheme="majorHAnsi" w:hAnsiTheme="majorHAnsi" w:cstheme="majorHAnsi"/>
                <w:sz w:val="20"/>
                <w:szCs w:val="20"/>
              </w:rPr>
              <w:t>formés</w:t>
            </w:r>
            <w:r w:rsidR="003C238E">
              <w:rPr>
                <w:rFonts w:asciiTheme="majorHAnsi" w:hAnsiTheme="majorHAnsi" w:cstheme="majorHAnsi"/>
                <w:sz w:val="20"/>
                <w:szCs w:val="20"/>
              </w:rPr>
              <w:t xml:space="preserve"> à la PEAS.</w:t>
            </w:r>
          </w:p>
          <w:p w14:paraId="3D00B7A7" w14:textId="1E94C362" w:rsidR="00206559" w:rsidRPr="00BB7B17" w:rsidRDefault="0020655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F2AEA93" w14:textId="77777777" w:rsidR="00206559" w:rsidRDefault="006459E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1C98">
              <w:rPr>
                <w:rFonts w:asciiTheme="majorHAnsi" w:hAnsiTheme="majorHAnsi" w:cstheme="majorHAnsi"/>
                <w:sz w:val="20"/>
                <w:szCs w:val="20"/>
              </w:rPr>
              <w:t>% de points focaux PEAS formés 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 PEAS</w:t>
            </w:r>
          </w:p>
          <w:p w14:paraId="5F925F07" w14:textId="709FD7E9" w:rsidR="006459E8" w:rsidRPr="00BB7B17" w:rsidRDefault="006459E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5475D3" w14:textId="3CBF87CE" w:rsidR="00206559" w:rsidRPr="00BB7B17" w:rsidRDefault="0020655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Points focaux PEAS</w:t>
            </w:r>
          </w:p>
        </w:tc>
        <w:tc>
          <w:tcPr>
            <w:tcW w:w="2835" w:type="dxa"/>
            <w:shd w:val="clear" w:color="auto" w:fill="FFFFFF" w:themeFill="background1"/>
          </w:tcPr>
          <w:p w14:paraId="7C38D0CD" w14:textId="0ECB18F9" w:rsidR="00206559" w:rsidRPr="005D2722" w:rsidRDefault="00DA33A2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20088F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2AAF4EAC" w14:textId="22F64D79" w:rsidR="00206559" w:rsidRPr="00EA15BE" w:rsidRDefault="00206559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69DC40" w14:textId="77777777" w:rsidR="00206559" w:rsidRDefault="00206559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334CD4" w14:textId="14848FC7" w:rsidR="00206559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15174918" w14:textId="3C8C70AD" w:rsidR="00206559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395BDCA9" w14:textId="72CB7D34" w:rsidR="00206559" w:rsidRDefault="0078178C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257FA7B6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36541DA1" w14:textId="77777777" w:rsidR="008137F3" w:rsidRPr="00EA15BE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64025409"/>
          </w:p>
        </w:tc>
        <w:tc>
          <w:tcPr>
            <w:tcW w:w="3544" w:type="dxa"/>
            <w:shd w:val="clear" w:color="auto" w:fill="FFFFFF" w:themeFill="background1"/>
          </w:tcPr>
          <w:p w14:paraId="163534BE" w14:textId="0D01B072" w:rsidR="008137F3" w:rsidRPr="00EA15BE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A.5 </w:t>
            </w:r>
            <w:r w:rsidR="008137F3">
              <w:rPr>
                <w:rFonts w:asciiTheme="majorHAnsi" w:hAnsiTheme="majorHAnsi" w:cstheme="majorHAnsi"/>
                <w:sz w:val="20"/>
                <w:szCs w:val="20"/>
              </w:rPr>
              <w:t>Ajouter la PEAS au briefing de sécurité du personnel des agences onusiennes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33EE619" w14:textId="08112E98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F0E0701" w14:textId="01A4F938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A15BE">
              <w:rPr>
                <w:rFonts w:asciiTheme="majorHAnsi" w:hAnsiTheme="majorHAnsi" w:cstheme="majorHAnsi"/>
                <w:sz w:val="20"/>
                <w:szCs w:val="20"/>
              </w:rPr>
              <w:t>% du personnel ayant suivi le discours inductif relatif à la PEAS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5829BB" w14:textId="05A18F54" w:rsidR="00D905B9" w:rsidRDefault="00C912BE" w:rsidP="00206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UNDSS</w:t>
            </w:r>
            <w:r w:rsidR="00297BA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24200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42005" w:rsidRPr="0024200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en cours de discussion</w:t>
            </w:r>
            <w:r w:rsidR="0024200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82F7480" w14:textId="6E82732B" w:rsidR="0033281E" w:rsidRPr="00EA15BE" w:rsidRDefault="0033281E" w:rsidP="0020655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EA77949" w14:textId="40900660" w:rsidR="008137F3" w:rsidRPr="00306A65" w:rsidRDefault="007E561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Représentants des agences onusiennes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4762E7D5" w14:textId="61E82C3F" w:rsidR="008137F3" w:rsidRPr="00EA15BE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64A654" w14:textId="66630AAD" w:rsidR="008137F3" w:rsidRPr="00EA15BE" w:rsidRDefault="008137F3" w:rsidP="007E29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4DB717" w14:textId="0F0C8C96" w:rsidR="008137F3" w:rsidRPr="00EA15BE" w:rsidRDefault="008137F3" w:rsidP="007E29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A15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2875A747" w14:textId="6F7A19ED" w:rsidR="008137F3" w:rsidRPr="00EA15BE" w:rsidRDefault="008137F3" w:rsidP="007E29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A15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49F11EE" w14:textId="3A418538" w:rsidR="008137F3" w:rsidRPr="00EA15BE" w:rsidRDefault="008137F3" w:rsidP="007E299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A15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bookmarkEnd w:id="1"/>
      <w:tr w:rsidR="008137F3" w:rsidRPr="006F36FD" w14:paraId="00ECE25C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5A48B17A" w14:textId="77777777" w:rsidR="008137F3" w:rsidRPr="009531F5" w:rsidRDefault="008137F3" w:rsidP="007E29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C3388BB" w14:textId="3D562092" w:rsidR="008137F3" w:rsidRPr="00EA15BE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A.6 </w:t>
            </w:r>
            <w:r w:rsidR="008137F3">
              <w:rPr>
                <w:rFonts w:asciiTheme="majorHAnsi" w:hAnsiTheme="majorHAnsi" w:cstheme="majorHAnsi"/>
                <w:sz w:val="20"/>
                <w:szCs w:val="20"/>
              </w:rPr>
              <w:t>Vérifier que les agences onusiennes s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>ensibilise</w:t>
            </w:r>
            <w:r w:rsidR="008137F3">
              <w:rPr>
                <w:rFonts w:asciiTheme="majorHAnsi" w:hAnsiTheme="majorHAnsi" w:cstheme="majorHAnsi"/>
                <w:sz w:val="20"/>
                <w:szCs w:val="20"/>
              </w:rPr>
              <w:t>nt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 xml:space="preserve"> les partenaires de mise en œuvre et autres entreprises contractualisées </w:t>
            </w:r>
            <w:r w:rsidR="007E561E">
              <w:rPr>
                <w:rFonts w:asciiTheme="majorHAnsi" w:hAnsiTheme="majorHAnsi" w:cstheme="majorHAnsi"/>
                <w:sz w:val="20"/>
                <w:szCs w:val="20"/>
              </w:rPr>
              <w:t>à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 xml:space="preserve"> la PEAS.</w:t>
            </w:r>
          </w:p>
          <w:p w14:paraId="72C0DC89" w14:textId="1235275B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BD97205" w14:textId="6E10DAC3" w:rsidR="008137F3" w:rsidRPr="00836CE2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6CE2">
              <w:rPr>
                <w:rFonts w:asciiTheme="majorHAnsi" w:hAnsiTheme="majorHAnsi" w:cstheme="majorHAnsi"/>
                <w:sz w:val="20"/>
                <w:szCs w:val="20"/>
              </w:rPr>
              <w:t>Nombre de rapports d</w:t>
            </w:r>
            <w:r w:rsidR="00987796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836CE2">
              <w:rPr>
                <w:rFonts w:asciiTheme="majorHAnsi" w:hAnsiTheme="majorHAnsi" w:cstheme="majorHAnsi"/>
                <w:sz w:val="20"/>
                <w:szCs w:val="20"/>
              </w:rPr>
              <w:t xml:space="preserve"> séances de sensibilisation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FF82C92" w14:textId="03BB5C6A" w:rsidR="008137F3" w:rsidRPr="00607AB7" w:rsidRDefault="00607AB7" w:rsidP="002065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Points focaux P</w:t>
            </w:r>
            <w:r w:rsidR="0020088F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2835" w:type="dxa"/>
            <w:shd w:val="clear" w:color="auto" w:fill="FFFFFF" w:themeFill="background1"/>
          </w:tcPr>
          <w:p w14:paraId="74270547" w14:textId="44152D2D" w:rsidR="008137F3" w:rsidRPr="00EA15BE" w:rsidRDefault="00042FF7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6A65">
              <w:rPr>
                <w:rFonts w:asciiTheme="majorHAnsi" w:hAnsiTheme="majorHAnsi" w:cstheme="majorHAnsi"/>
                <w:sz w:val="20"/>
                <w:szCs w:val="20"/>
              </w:rPr>
              <w:t>Représentants des agences onusiennes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2ECB2BF4" w14:textId="210BEF4D" w:rsidR="008137F3" w:rsidRPr="00EA15BE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62067C" w14:textId="009D708F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9F8A88" w14:textId="2047DDC2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5D9241D2" w14:textId="0013183F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EF3FAE4" w14:textId="7795E846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16CCAF78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34A3A1BC" w14:textId="77777777" w:rsidR="008137F3" w:rsidRPr="009531F5" w:rsidRDefault="008137F3" w:rsidP="007E29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861BF2" w14:textId="7BC45D4D" w:rsidR="008137F3" w:rsidRPr="00242005" w:rsidRDefault="00242005" w:rsidP="002420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A.7 </w:t>
            </w:r>
            <w:r w:rsidR="008137F3" w:rsidRPr="00242005">
              <w:rPr>
                <w:rFonts w:asciiTheme="majorHAnsi" w:hAnsiTheme="majorHAnsi" w:cstheme="majorHAnsi"/>
                <w:sz w:val="20"/>
                <w:szCs w:val="20"/>
              </w:rPr>
              <w:t>Insérer une clause liée à la PEAS dans les contrats avec les fournisseurs de services</w:t>
            </w:r>
            <w:r w:rsidR="00F63CEB" w:rsidRPr="00242005">
              <w:rPr>
                <w:rFonts w:asciiTheme="majorHAnsi" w:hAnsiTheme="majorHAnsi" w:cstheme="majorHAnsi"/>
                <w:sz w:val="20"/>
                <w:szCs w:val="20"/>
              </w:rPr>
              <w:t xml:space="preserve"> et dans tous types de partenariats avec les partenaires</w:t>
            </w:r>
            <w:r w:rsidR="000F6EF5" w:rsidRPr="0024200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01C08C" w14:textId="00112A08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B44A51B" w14:textId="153DF257" w:rsidR="008137F3" w:rsidRPr="00EA15BE" w:rsidRDefault="00566E3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%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 xml:space="preserve"> des contrats intégrant la clause</w:t>
            </w:r>
            <w:r w:rsidR="008137F3">
              <w:rPr>
                <w:rFonts w:asciiTheme="majorHAnsi" w:hAnsiTheme="majorHAnsi" w:cstheme="majorHAnsi"/>
                <w:sz w:val="20"/>
                <w:szCs w:val="20"/>
              </w:rPr>
              <w:t xml:space="preserve"> liée à la PEAS.</w:t>
            </w:r>
          </w:p>
        </w:tc>
        <w:tc>
          <w:tcPr>
            <w:tcW w:w="2268" w:type="dxa"/>
            <w:shd w:val="clear" w:color="auto" w:fill="FFFFFF" w:themeFill="background1"/>
          </w:tcPr>
          <w:p w14:paraId="437EEC87" w14:textId="2166E501" w:rsidR="008137F3" w:rsidRPr="00EA15BE" w:rsidRDefault="00297BAD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RH des agences</w:t>
            </w:r>
          </w:p>
        </w:tc>
        <w:tc>
          <w:tcPr>
            <w:tcW w:w="2835" w:type="dxa"/>
            <w:shd w:val="clear" w:color="auto" w:fill="FFFFFF" w:themeFill="background1"/>
          </w:tcPr>
          <w:p w14:paraId="40177C05" w14:textId="77777777" w:rsidR="008137F3" w:rsidRDefault="00297BAD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7BAD">
              <w:rPr>
                <w:rFonts w:asciiTheme="majorHAnsi" w:hAnsiTheme="majorHAnsi" w:cstheme="majorHAnsi"/>
                <w:sz w:val="20"/>
                <w:szCs w:val="20"/>
              </w:rPr>
              <w:t>Représentants des agences onusiennes</w:t>
            </w:r>
          </w:p>
          <w:p w14:paraId="2EA5EB1C" w14:textId="0976221E" w:rsidR="00566E39" w:rsidRPr="00297BAD" w:rsidRDefault="00566E3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Points focaux PEAS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25114B28" w14:textId="2C1E4A0F" w:rsidR="008137F3" w:rsidRPr="00EA15BE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7D0218" w14:textId="32F3CC08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C60DEA" w14:textId="164E0D39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02109085" w14:textId="4B5E09FD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5084EEDF" w14:textId="71B21748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1C9A1E66" w14:textId="77777777" w:rsidTr="00BC361F">
        <w:trPr>
          <w:trHeight w:val="983"/>
        </w:trPr>
        <w:tc>
          <w:tcPr>
            <w:tcW w:w="1843" w:type="dxa"/>
            <w:vMerge/>
            <w:shd w:val="clear" w:color="auto" w:fill="FFFFFF" w:themeFill="background1"/>
          </w:tcPr>
          <w:p w14:paraId="50A3EDDA" w14:textId="77777777" w:rsidR="008137F3" w:rsidRPr="009531F5" w:rsidRDefault="008137F3" w:rsidP="007E29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D823959" w14:textId="587405E4" w:rsidR="00297BAD" w:rsidRPr="00EA15BE" w:rsidRDefault="0024200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A.8 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>Diffuser sur tous les réseaux sociaux des agences onusiennes et des organisations des articles de prévention relatifs à la P</w:t>
            </w:r>
            <w:r w:rsidR="008137F3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  <w:r w:rsidR="008137F3" w:rsidRPr="00EA15B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408643E6" w14:textId="77777777" w:rsidR="008137F3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24B">
              <w:rPr>
                <w:rFonts w:asciiTheme="majorHAnsi" w:hAnsiTheme="majorHAnsi" w:cstheme="majorHAnsi"/>
                <w:sz w:val="20"/>
                <w:szCs w:val="20"/>
              </w:rPr>
              <w:t>Nombre d’articles diffusés sur les réseaux sociaux des agences/organisations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43A3EA2" w14:textId="77777777" w:rsidR="0051088E" w:rsidRDefault="0051088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547B6" w14:textId="77777777" w:rsidR="0051088E" w:rsidRDefault="0051088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EB764" w14:textId="0981B83A" w:rsidR="0051088E" w:rsidRPr="005C024B" w:rsidRDefault="0051088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DD14CF" w14:textId="77777777" w:rsidR="00042FF7" w:rsidRDefault="00042FF7" w:rsidP="00042F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5FE3">
              <w:rPr>
                <w:rFonts w:asciiTheme="majorHAnsi" w:hAnsiTheme="majorHAnsi" w:cstheme="majorHAnsi"/>
                <w:sz w:val="20"/>
                <w:szCs w:val="20"/>
              </w:rPr>
              <w:t>Services de communication des agences et organisations</w:t>
            </w:r>
          </w:p>
          <w:p w14:paraId="6BA63C3B" w14:textId="77777777" w:rsidR="008137F3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FD73E5" w14:textId="77777777" w:rsidR="000A1301" w:rsidRDefault="000A1301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5132EB" w14:textId="77777777" w:rsidR="000A1301" w:rsidRDefault="000A1301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2E552E" w14:textId="1D53DCFA" w:rsidR="000A1301" w:rsidRPr="005C024B" w:rsidRDefault="000A1301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13C2EF" w14:textId="1AC9B178" w:rsidR="00321EE2" w:rsidRDefault="00042FF7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Points focaux</w:t>
            </w:r>
          </w:p>
          <w:p w14:paraId="46AA14F2" w14:textId="16AD9749" w:rsidR="00E068D8" w:rsidRDefault="00E068D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  <w:p w14:paraId="6AB4504E" w14:textId="5C2A1873" w:rsidR="00321EE2" w:rsidRPr="007F5FE3" w:rsidRDefault="00321EE2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EC97B8" w14:textId="2B6DBDFD" w:rsidR="008137F3" w:rsidRPr="00EA15BE" w:rsidRDefault="008137F3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85613D" w14:textId="58342655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5F00A25" w14:textId="63AF6A69" w:rsidR="008137F3" w:rsidRPr="00EA15BE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24C214FF" w14:textId="5B922EAF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4AC2F29" w14:textId="1215E909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4AAE88F1" w14:textId="77777777" w:rsidTr="00242005">
        <w:trPr>
          <w:trHeight w:val="64"/>
        </w:trPr>
        <w:tc>
          <w:tcPr>
            <w:tcW w:w="1843" w:type="dxa"/>
            <w:shd w:val="clear" w:color="auto" w:fill="AEAAAA" w:themeFill="background2" w:themeFillShade="BF"/>
          </w:tcPr>
          <w:p w14:paraId="307546FE" w14:textId="77777777" w:rsidR="008137F3" w:rsidRPr="005454A6" w:rsidRDefault="008137F3" w:rsidP="007E299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4459" w:type="dxa"/>
            <w:gridSpan w:val="9"/>
            <w:shd w:val="clear" w:color="auto" w:fill="AEAAAA" w:themeFill="background2" w:themeFillShade="BF"/>
          </w:tcPr>
          <w:p w14:paraId="28F4996C" w14:textId="2279A9D6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54A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AXE 3 : REPONSE</w:t>
            </w:r>
          </w:p>
        </w:tc>
      </w:tr>
      <w:tr w:rsidR="00FA76D4" w:rsidRPr="006F36FD" w14:paraId="25CB54F0" w14:textId="77777777" w:rsidTr="00BC361F">
        <w:trPr>
          <w:trHeight w:val="337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51579DFC" w14:textId="77777777" w:rsidR="00FA76D4" w:rsidRDefault="00FA76D4" w:rsidP="00FA76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74A254" w14:textId="77777777" w:rsidR="00FA76D4" w:rsidRDefault="00FA76D4" w:rsidP="00FA76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A86E6D3" w14:textId="77777777" w:rsidR="00FA76D4" w:rsidRDefault="00FA76D4" w:rsidP="00FA76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8855051" w14:textId="384F1068" w:rsidR="00FA76D4" w:rsidRDefault="00FA76D4" w:rsidP="00FA76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C353056" w14:textId="2F8C22D1" w:rsidR="00EA1559" w:rsidRDefault="00EA1559" w:rsidP="00FA76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FB214D3" w14:textId="77777777" w:rsidR="00EA1559" w:rsidRDefault="00EA1559" w:rsidP="00FA76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</w:p>
          <w:p w14:paraId="0F0B58A7" w14:textId="77777777" w:rsidR="00EA1559" w:rsidRDefault="00EA1559" w:rsidP="00FA76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</w:p>
          <w:p w14:paraId="67EA16A1" w14:textId="77777777" w:rsidR="00EA1559" w:rsidRDefault="00EA1559" w:rsidP="00FA76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</w:p>
          <w:p w14:paraId="2954B23A" w14:textId="29A858DB" w:rsidR="00FA76D4" w:rsidRPr="005C024B" w:rsidRDefault="00BC361F" w:rsidP="00FA76D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R3. </w:t>
            </w:r>
            <w:r w:rsidR="00FA76D4" w:rsidRPr="00D33DE2">
              <w:rPr>
                <w:rFonts w:asciiTheme="majorHAnsi" w:hAnsiTheme="majorHAnsi"/>
                <w:b/>
                <w:bCs/>
                <w:sz w:val="20"/>
                <w:szCs w:val="20"/>
              </w:rPr>
              <w:t>Un mécanisme</w:t>
            </w:r>
            <w:r w:rsidR="00681D37" w:rsidRPr="00D33DE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 prise en charge des victimes </w:t>
            </w:r>
            <w:r w:rsidR="00FA76D4" w:rsidRPr="00D33DE2">
              <w:rPr>
                <w:rFonts w:asciiTheme="majorHAnsi" w:hAnsiTheme="majorHAnsi"/>
                <w:b/>
                <w:bCs/>
                <w:sz w:val="20"/>
                <w:szCs w:val="20"/>
              </w:rPr>
              <w:t>inter organisations est mis en place et est fonctionnel</w:t>
            </w:r>
            <w:r w:rsidR="00681D37" w:rsidRPr="00D33DE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pour les cas d’EAS</w:t>
            </w:r>
          </w:p>
          <w:p w14:paraId="758E4BFF" w14:textId="77777777" w:rsidR="00FA76D4" w:rsidRPr="00AF4188" w:rsidRDefault="00FA76D4" w:rsidP="007E299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AF00116" w14:textId="77777777" w:rsidR="00D91C98" w:rsidRDefault="00D91C98" w:rsidP="007E299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</w:pPr>
          </w:p>
          <w:p w14:paraId="72F32F7C" w14:textId="72240923" w:rsidR="00EA1559" w:rsidRDefault="00BC361F" w:rsidP="007E299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A1. </w:t>
            </w:r>
            <w:r w:rsidR="00FA76D4" w:rsidRPr="00607AB7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Vulgariser le numéro de téléphone </w:t>
            </w:r>
            <w:r w:rsidR="007E561E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(+509) 3702-6516 </w:t>
            </w:r>
            <w:r w:rsidR="00FA76D4" w:rsidRPr="00607AB7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et l’adresse mail </w:t>
            </w:r>
            <w:hyperlink r:id="rId6" w:history="1">
              <w:r w:rsidR="007E561E" w:rsidRPr="00814775">
                <w:rPr>
                  <w:rStyle w:val="Lienhypertexte"/>
                  <w:rFonts w:asciiTheme="majorHAnsi" w:hAnsiTheme="majorHAnsi" w:cstheme="majorHAnsi"/>
                  <w:bCs/>
                  <w:sz w:val="20"/>
                  <w:szCs w:val="20"/>
                  <w:lang w:val="fr-029"/>
                </w:rPr>
                <w:t>Report-UN-Haiti@un.org</w:t>
              </w:r>
            </w:hyperlink>
            <w:r w:rsidR="007E561E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 </w:t>
            </w:r>
            <w:r w:rsidR="001A343C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déjà existants </w:t>
            </w:r>
            <w:r w:rsidR="00FA76D4" w:rsidRPr="00607AB7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>au sein du SNU et</w:t>
            </w:r>
            <w:r w:rsidR="004C1CA9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 auprès </w:t>
            </w:r>
            <w:r w:rsidR="001A343C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>des</w:t>
            </w:r>
            <w:r w:rsidR="00FA76D4" w:rsidRPr="00607AB7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 xml:space="preserve"> partenaires d’implémentation</w:t>
            </w:r>
            <w:r w:rsidR="00306B9E"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  <w:t>.</w:t>
            </w:r>
          </w:p>
          <w:p w14:paraId="32811626" w14:textId="0967ECC6" w:rsidR="001A343C" w:rsidRPr="001A343C" w:rsidRDefault="001A343C" w:rsidP="007E299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029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859BC8" w14:textId="77777777" w:rsid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41482" w14:textId="7EDA3CEE" w:rsidR="00FA76D4" w:rsidRPr="00607AB7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% des personnes qui sont informées de l’existence d’un numéro de téléphone et d’une adresse mail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D3B8B25" w14:textId="241CE544" w:rsidR="00FA76D4" w:rsidRPr="00607AB7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4A382D" w14:textId="77777777" w:rsid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55CE08" w14:textId="2220BA4A" w:rsidR="00FA76D4" w:rsidRPr="00607AB7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Points focaux P</w:t>
            </w:r>
            <w:r w:rsidR="007B2E86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2835" w:type="dxa"/>
            <w:shd w:val="clear" w:color="auto" w:fill="FFFFFF" w:themeFill="background1"/>
          </w:tcPr>
          <w:p w14:paraId="08AB46C5" w14:textId="77777777" w:rsid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3B5C1C" w14:textId="349285D4" w:rsidR="00FA76D4" w:rsidRPr="00607AB7" w:rsidRDefault="004910E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7B2E86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646347" w14:textId="77777777" w:rsidR="00FA76D4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CD517E0" w14:textId="0915FBE9" w:rsidR="000A1301" w:rsidRPr="006F36FD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01E4C8" w14:textId="3C2524E5" w:rsidR="00FA76D4" w:rsidRPr="006F36FD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41B2C8E3" w14:textId="5267BFC5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02D18C9A" w14:textId="7134CDF1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3C0BA525" w14:textId="23743515" w:rsidR="00FA76D4" w:rsidRPr="006F36FD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FA76D4" w:rsidRPr="006F36FD" w14:paraId="4F30CFA7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6317CB21" w14:textId="77777777" w:rsidR="00FA76D4" w:rsidRPr="00AF4188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66D6CF2" w14:textId="77777777" w:rsid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212F7" w14:textId="6B7F6904" w:rsidR="00FA76D4" w:rsidRPr="00607AB7" w:rsidRDefault="00BC361F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A2. </w:t>
            </w:r>
            <w:r w:rsidR="00FA76D4" w:rsidRPr="00607AB7">
              <w:rPr>
                <w:rFonts w:asciiTheme="majorHAnsi" w:hAnsiTheme="majorHAnsi" w:cstheme="majorHAnsi"/>
                <w:sz w:val="20"/>
                <w:szCs w:val="20"/>
              </w:rPr>
              <w:t>Renforcer les capacités du personnel de l’</w:t>
            </w:r>
            <w:r w:rsidR="0000373E">
              <w:rPr>
                <w:rFonts w:asciiTheme="majorHAnsi" w:hAnsiTheme="majorHAnsi" w:cstheme="majorHAnsi"/>
                <w:sz w:val="20"/>
                <w:szCs w:val="20"/>
              </w:rPr>
              <w:t>Office de protection du Citoyen (OPC)</w:t>
            </w:r>
            <w:r w:rsidR="00E068D8">
              <w:rPr>
                <w:rFonts w:asciiTheme="majorHAnsi" w:hAnsiTheme="majorHAnsi" w:cstheme="majorHAnsi"/>
                <w:sz w:val="20"/>
                <w:szCs w:val="20"/>
              </w:rPr>
              <w:t>, de la B</w:t>
            </w:r>
            <w:r w:rsidR="0000373E">
              <w:rPr>
                <w:rFonts w:asciiTheme="majorHAnsi" w:hAnsiTheme="majorHAnsi" w:cstheme="majorHAnsi"/>
                <w:sz w:val="20"/>
                <w:szCs w:val="20"/>
              </w:rPr>
              <w:t>rigade de la protection des mineurs (BPM)</w:t>
            </w:r>
            <w:r w:rsidR="00D905B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7E561E">
              <w:rPr>
                <w:rFonts w:asciiTheme="majorHAnsi" w:hAnsiTheme="majorHAnsi" w:cstheme="majorHAnsi"/>
                <w:sz w:val="20"/>
                <w:szCs w:val="20"/>
              </w:rPr>
              <w:t xml:space="preserve">du </w:t>
            </w:r>
            <w:r w:rsidR="00D905B9" w:rsidRPr="0000373E">
              <w:rPr>
                <w:rFonts w:asciiTheme="majorHAnsi" w:hAnsiTheme="majorHAnsi" w:cstheme="majorHAnsi"/>
                <w:sz w:val="20"/>
                <w:szCs w:val="20"/>
              </w:rPr>
              <w:t>ministère à la condition féminine et aux droits des femmes (MCFDF)</w:t>
            </w:r>
            <w:r w:rsidR="00FA76D4" w:rsidRPr="000037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76D4" w:rsidRPr="00607AB7">
              <w:rPr>
                <w:rFonts w:asciiTheme="majorHAnsi" w:hAnsiTheme="majorHAnsi" w:cstheme="majorHAnsi"/>
                <w:sz w:val="20"/>
                <w:szCs w:val="20"/>
              </w:rPr>
              <w:t>sur la prise en charge des plaintes pour les victimes d’EAS spécifiquement.</w:t>
            </w:r>
          </w:p>
          <w:p w14:paraId="428FE614" w14:textId="2F444905" w:rsidR="00FA76D4" w:rsidRPr="00607AB7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5C6E117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7A733F" w14:textId="31A6E3C0" w:rsidR="00FA76D4" w:rsidRPr="00607AB7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% de</w:t>
            </w:r>
            <w:r w:rsidR="0070579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 xml:space="preserve"> personnes formées </w:t>
            </w:r>
            <w:r w:rsidR="0070579D">
              <w:rPr>
                <w:rFonts w:asciiTheme="majorHAnsi" w:hAnsiTheme="majorHAnsi" w:cstheme="majorHAnsi"/>
                <w:sz w:val="20"/>
                <w:szCs w:val="20"/>
              </w:rPr>
              <w:t xml:space="preserve">à la </w:t>
            </w:r>
            <w:r w:rsidR="007E561E">
              <w:rPr>
                <w:rFonts w:asciiTheme="majorHAnsi" w:hAnsiTheme="majorHAnsi" w:cstheme="majorHAnsi"/>
                <w:sz w:val="20"/>
                <w:szCs w:val="20"/>
              </w:rPr>
              <w:t xml:space="preserve">prise en charge des plaintes </w:t>
            </w:r>
            <w:r w:rsidR="00DB12D6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  <w:r w:rsidR="007E561E">
              <w:rPr>
                <w:rFonts w:asciiTheme="majorHAnsi" w:hAnsiTheme="majorHAnsi" w:cstheme="majorHAnsi"/>
                <w:sz w:val="20"/>
                <w:szCs w:val="20"/>
              </w:rPr>
              <w:t xml:space="preserve"> victimes d’E</w:t>
            </w:r>
            <w:r w:rsidR="0070579D">
              <w:rPr>
                <w:rFonts w:asciiTheme="majorHAnsi" w:hAnsiTheme="majorHAnsi" w:cstheme="majorHAnsi"/>
                <w:sz w:val="20"/>
                <w:szCs w:val="20"/>
              </w:rPr>
              <w:t xml:space="preserve">AS </w:t>
            </w: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au sein de l’OPC</w:t>
            </w:r>
            <w:r w:rsidR="003400F0">
              <w:rPr>
                <w:rFonts w:asciiTheme="majorHAnsi" w:hAnsiTheme="majorHAnsi" w:cstheme="majorHAnsi"/>
                <w:sz w:val="20"/>
                <w:szCs w:val="20"/>
              </w:rPr>
              <w:t>, de la BPM et du MCFDF</w:t>
            </w:r>
          </w:p>
        </w:tc>
        <w:tc>
          <w:tcPr>
            <w:tcW w:w="2268" w:type="dxa"/>
            <w:shd w:val="clear" w:color="auto" w:fill="FFFFFF" w:themeFill="background1"/>
          </w:tcPr>
          <w:p w14:paraId="25B42A0C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A3F387" w14:textId="2C2205C3" w:rsidR="00FA76D4" w:rsidRPr="00607AB7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B7">
              <w:rPr>
                <w:rFonts w:asciiTheme="majorHAnsi" w:hAnsiTheme="majorHAnsi" w:cstheme="majorHAnsi"/>
                <w:sz w:val="20"/>
                <w:szCs w:val="20"/>
              </w:rPr>
              <w:t>OPC</w:t>
            </w:r>
            <w:r w:rsidR="00E068D8">
              <w:rPr>
                <w:rFonts w:asciiTheme="majorHAnsi" w:hAnsiTheme="majorHAnsi" w:cstheme="majorHAnsi"/>
                <w:sz w:val="20"/>
                <w:szCs w:val="20"/>
              </w:rPr>
              <w:t>, BPM</w:t>
            </w:r>
            <w:r w:rsidR="00EF7514">
              <w:rPr>
                <w:rFonts w:asciiTheme="majorHAnsi" w:hAnsiTheme="majorHAnsi" w:cstheme="majorHAnsi"/>
                <w:sz w:val="20"/>
                <w:szCs w:val="20"/>
              </w:rPr>
              <w:t>, MCFDF</w:t>
            </w:r>
          </w:p>
        </w:tc>
        <w:tc>
          <w:tcPr>
            <w:tcW w:w="2835" w:type="dxa"/>
            <w:shd w:val="clear" w:color="auto" w:fill="FFFFFF" w:themeFill="background1"/>
          </w:tcPr>
          <w:p w14:paraId="457CC71D" w14:textId="77777777" w:rsidR="0000373E" w:rsidRDefault="0000373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721D99" w14:textId="300F12C5" w:rsidR="0073118C" w:rsidRDefault="00987796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Sous-groupe de travail TF </w:t>
            </w:r>
            <w:r w:rsidR="00DB12D6">
              <w:rPr>
                <w:rFonts w:asciiTheme="majorHAnsi" w:hAnsiTheme="majorHAnsi" w:cstheme="majorHAnsi"/>
                <w:sz w:val="20"/>
                <w:szCs w:val="20"/>
              </w:rPr>
              <w:t>PEAS</w:t>
            </w:r>
          </w:p>
          <w:p w14:paraId="47C9E307" w14:textId="58266EB6" w:rsidR="00FA76D4" w:rsidRPr="00607AB7" w:rsidRDefault="00A22480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73E">
              <w:rPr>
                <w:rFonts w:asciiTheme="majorHAnsi" w:hAnsiTheme="majorHAnsi" w:cstheme="majorHAnsi"/>
                <w:sz w:val="20"/>
                <w:szCs w:val="20"/>
              </w:rPr>
              <w:t>Coordinatrice PEAS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66DB2A1F" w14:textId="77777777" w:rsidR="000A1301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7AA17FB" w14:textId="5EDAC074" w:rsidR="00FA76D4" w:rsidRPr="006F36FD" w:rsidRDefault="00FA76D4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66A285" w14:textId="77777777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7593D8" w14:textId="7CBE168E" w:rsidR="00FA76D4" w:rsidRPr="006F36FD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40B5A2E8" w14:textId="5BB686DB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1337652B" w14:textId="04606C6F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FA76D4" w:rsidRPr="006F36FD" w14:paraId="23C4869B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3919DC49" w14:textId="77777777" w:rsidR="00FA76D4" w:rsidRPr="005E7CDA" w:rsidRDefault="00FA76D4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11F7094" w14:textId="77777777" w:rsidR="00DE79DE" w:rsidRDefault="00DE79DE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E2B699" w14:textId="430C81F4" w:rsidR="00DE3D7B" w:rsidRDefault="00BC361F" w:rsidP="007E29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A3. </w:t>
            </w:r>
            <w:r w:rsidR="00703880">
              <w:rPr>
                <w:rFonts w:asciiTheme="majorHAnsi" w:hAnsiTheme="majorHAnsi"/>
                <w:sz w:val="20"/>
                <w:szCs w:val="20"/>
              </w:rPr>
              <w:t>Etablir un circuit de référencement des victimes d’EAS et assurer leur prise</w:t>
            </w:r>
            <w:r w:rsidR="00E45550" w:rsidRPr="0012451B">
              <w:rPr>
                <w:rFonts w:asciiTheme="majorHAnsi" w:hAnsiTheme="majorHAnsi"/>
                <w:sz w:val="20"/>
                <w:szCs w:val="20"/>
              </w:rPr>
              <w:t xml:space="preserve"> en charge en s’appuyant sur</w:t>
            </w:r>
            <w:r w:rsidR="00042FF7" w:rsidRPr="00124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76D4" w:rsidRPr="0012451B">
              <w:rPr>
                <w:rFonts w:asciiTheme="majorHAnsi" w:hAnsiTheme="majorHAnsi"/>
                <w:sz w:val="20"/>
                <w:szCs w:val="20"/>
              </w:rPr>
              <w:t xml:space="preserve">les circuits </w:t>
            </w:r>
            <w:r w:rsidR="00F962B4">
              <w:rPr>
                <w:rFonts w:asciiTheme="majorHAnsi" w:hAnsiTheme="majorHAnsi"/>
                <w:sz w:val="20"/>
                <w:szCs w:val="20"/>
              </w:rPr>
              <w:t xml:space="preserve">déjà </w:t>
            </w:r>
            <w:r w:rsidR="00E45550" w:rsidRPr="0012451B">
              <w:rPr>
                <w:rFonts w:asciiTheme="majorHAnsi" w:hAnsiTheme="majorHAnsi"/>
                <w:sz w:val="20"/>
                <w:szCs w:val="20"/>
              </w:rPr>
              <w:t xml:space="preserve">existants </w:t>
            </w:r>
            <w:r w:rsidR="00FA76D4" w:rsidRPr="0012451B">
              <w:rPr>
                <w:rFonts w:asciiTheme="majorHAnsi" w:hAnsiTheme="majorHAnsi"/>
                <w:sz w:val="20"/>
                <w:szCs w:val="20"/>
              </w:rPr>
              <w:t>de prise en charge des victimes de VBG et de PE</w:t>
            </w:r>
            <w:r w:rsidR="00306B9E" w:rsidRPr="0012451B">
              <w:rPr>
                <w:rFonts w:asciiTheme="majorHAnsi" w:hAnsiTheme="majorHAnsi"/>
                <w:sz w:val="20"/>
                <w:szCs w:val="20"/>
              </w:rPr>
              <w:t>.</w:t>
            </w:r>
            <w:r w:rsidR="00FA76D4" w:rsidRPr="00D91C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5F3EDC8" w14:textId="5658EF57" w:rsidR="00DE3D7B" w:rsidRPr="00DE3D7B" w:rsidRDefault="00DE3D7B" w:rsidP="007E299B">
            <w:pPr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395833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F5F9A8" w14:textId="3FFDBD89" w:rsidR="00FA76D4" w:rsidRPr="004910E8" w:rsidRDefault="004910E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0E8">
              <w:rPr>
                <w:rFonts w:asciiTheme="majorHAnsi" w:hAnsiTheme="majorHAnsi" w:cstheme="majorHAnsi"/>
                <w:sz w:val="20"/>
                <w:szCs w:val="20"/>
              </w:rPr>
              <w:t xml:space="preserve">Liste des acteurs </w:t>
            </w:r>
            <w:r w:rsidR="00F83999">
              <w:rPr>
                <w:rFonts w:asciiTheme="majorHAnsi" w:hAnsiTheme="majorHAnsi" w:cstheme="majorHAnsi"/>
                <w:sz w:val="20"/>
                <w:szCs w:val="20"/>
              </w:rPr>
              <w:t>apportant</w:t>
            </w:r>
            <w:r w:rsidR="007038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17C3">
              <w:rPr>
                <w:rFonts w:asciiTheme="majorHAnsi" w:hAnsiTheme="majorHAnsi" w:cstheme="majorHAnsi"/>
                <w:sz w:val="20"/>
                <w:szCs w:val="20"/>
              </w:rPr>
              <w:t xml:space="preserve">une </w:t>
            </w:r>
            <w:r w:rsidR="001627DB">
              <w:rPr>
                <w:rFonts w:asciiTheme="majorHAnsi" w:hAnsiTheme="majorHAnsi" w:cstheme="majorHAnsi"/>
                <w:sz w:val="20"/>
                <w:szCs w:val="20"/>
              </w:rPr>
              <w:t>prise en charge</w:t>
            </w:r>
            <w:r w:rsidR="000F17C3">
              <w:rPr>
                <w:rFonts w:asciiTheme="majorHAnsi" w:hAnsiTheme="majorHAnsi" w:cstheme="majorHAnsi"/>
                <w:sz w:val="20"/>
                <w:szCs w:val="20"/>
              </w:rPr>
              <w:t xml:space="preserve"> aux victimes d’EAS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3FCD667A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77805E" w14:textId="14F96CBE" w:rsidR="00FA76D4" w:rsidRPr="00D91C98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1C98">
              <w:rPr>
                <w:rFonts w:asciiTheme="majorHAnsi" w:hAnsiTheme="majorHAnsi" w:cstheme="majorHAnsi"/>
                <w:sz w:val="20"/>
                <w:szCs w:val="20"/>
              </w:rPr>
              <w:t>UNICEF/UNFPA/UNWOMEN</w:t>
            </w:r>
          </w:p>
        </w:tc>
        <w:tc>
          <w:tcPr>
            <w:tcW w:w="2835" w:type="dxa"/>
            <w:shd w:val="clear" w:color="auto" w:fill="FFFFFF" w:themeFill="background1"/>
          </w:tcPr>
          <w:p w14:paraId="6A54EE53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C6E9FA" w14:textId="645BCCED" w:rsidR="00FA76D4" w:rsidRP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1C98">
              <w:rPr>
                <w:rFonts w:asciiTheme="majorHAnsi" w:hAnsiTheme="majorHAnsi" w:cstheme="majorHAnsi"/>
                <w:sz w:val="20"/>
                <w:szCs w:val="20"/>
              </w:rPr>
              <w:t>Points focaux P</w:t>
            </w:r>
            <w:r w:rsidR="0073118C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  <w:p w14:paraId="5CB88F96" w14:textId="37261B31" w:rsidR="00D91C98" w:rsidRPr="00D91C98" w:rsidRDefault="00D91C98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73118C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  <w:p w14:paraId="3CEB3380" w14:textId="130F8B1F" w:rsidR="00A22480" w:rsidRDefault="00566E3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Défenseure des droits des victimes</w:t>
            </w:r>
          </w:p>
          <w:p w14:paraId="49AF5E59" w14:textId="262393C3" w:rsidR="00A22480" w:rsidRPr="006F36FD" w:rsidRDefault="00A22480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9492D4" w14:textId="77777777" w:rsidR="000A1301" w:rsidRDefault="000A1301" w:rsidP="003440B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4FA4368" w14:textId="10D1E214" w:rsidR="00FA76D4" w:rsidRPr="006F36FD" w:rsidRDefault="00FA76D4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F8AB32" w14:textId="321D0DC8" w:rsidR="00FA76D4" w:rsidRPr="006F36FD" w:rsidRDefault="00BA3A46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61CC82C4" w14:textId="1FA68282" w:rsidR="00FA76D4" w:rsidRPr="006F36FD" w:rsidRDefault="00BA3A46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7DC17EBA" w14:textId="3B10480C" w:rsidR="00FA76D4" w:rsidRPr="006F36FD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327AA7F" w14:textId="025433B7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A76D4" w:rsidRPr="006F36FD" w14:paraId="4D4C288A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5EA868A5" w14:textId="77777777" w:rsidR="00FA76D4" w:rsidRPr="005E7CDA" w:rsidRDefault="00FA76D4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96C1F00" w14:textId="77777777" w:rsidR="00FA76D4" w:rsidRDefault="00FA76D4" w:rsidP="007E299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3BBB2CC8" w14:textId="77777777" w:rsidR="00BB06FC" w:rsidRDefault="00BC361F" w:rsidP="007E29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A.4 </w:t>
            </w:r>
            <w:r w:rsidR="00A22480" w:rsidRPr="002610FD">
              <w:rPr>
                <w:rFonts w:asciiTheme="majorHAnsi" w:hAnsiTheme="majorHAnsi"/>
                <w:sz w:val="20"/>
                <w:szCs w:val="20"/>
              </w:rPr>
              <w:t>Vérifier </w:t>
            </w:r>
            <w:r w:rsidR="0057091B" w:rsidRPr="002610FD">
              <w:rPr>
                <w:rFonts w:asciiTheme="majorHAnsi" w:hAnsiTheme="majorHAnsi"/>
                <w:sz w:val="20"/>
                <w:szCs w:val="20"/>
              </w:rPr>
              <w:t>que</w:t>
            </w:r>
            <w:r w:rsidR="00FA76D4" w:rsidRPr="002610FD">
              <w:rPr>
                <w:rFonts w:asciiTheme="majorHAnsi" w:hAnsiTheme="majorHAnsi"/>
                <w:sz w:val="20"/>
                <w:szCs w:val="20"/>
              </w:rPr>
              <w:t xml:space="preserve"> les acteurs </w:t>
            </w:r>
            <w:r w:rsidR="00A9742F" w:rsidRPr="002610FD">
              <w:rPr>
                <w:rFonts w:asciiTheme="majorHAnsi" w:hAnsiTheme="majorHAnsi"/>
                <w:sz w:val="20"/>
                <w:szCs w:val="20"/>
              </w:rPr>
              <w:t>engagés dans la prise en charge des</w:t>
            </w:r>
            <w:r w:rsidR="00703880" w:rsidRPr="002610FD">
              <w:rPr>
                <w:rFonts w:asciiTheme="majorHAnsi" w:hAnsiTheme="majorHAnsi"/>
                <w:sz w:val="20"/>
                <w:szCs w:val="20"/>
              </w:rPr>
              <w:t xml:space="preserve"> victimes d’EAS</w:t>
            </w:r>
            <w:r w:rsidR="00896B9B">
              <w:rPr>
                <w:rFonts w:asciiTheme="majorHAnsi" w:hAnsiTheme="majorHAnsi"/>
                <w:sz w:val="20"/>
                <w:szCs w:val="20"/>
              </w:rPr>
              <w:t xml:space="preserve"> sont formés à la P</w:t>
            </w:r>
            <w:r w:rsidR="007D08DE">
              <w:rPr>
                <w:rFonts w:asciiTheme="majorHAnsi" w:hAnsiTheme="majorHAnsi"/>
                <w:sz w:val="20"/>
                <w:szCs w:val="20"/>
              </w:rPr>
              <w:t>EAS</w:t>
            </w:r>
            <w:r w:rsidR="000F6E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0175B4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4EB0AC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E4D0FE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CE645B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B26943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9C3DF4" w14:textId="77777777" w:rsidR="000A1301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C35EED" w14:textId="677D1505" w:rsidR="000A1301" w:rsidRPr="00D37362" w:rsidRDefault="000A130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6D8EEC" w14:textId="77777777" w:rsidR="00FA76D4" w:rsidRPr="00D91C98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74FBE7" w14:textId="6161522E" w:rsidR="008E20AD" w:rsidRDefault="00FA76D4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1C98">
              <w:rPr>
                <w:rFonts w:asciiTheme="majorHAnsi" w:hAnsiTheme="majorHAnsi" w:cstheme="majorHAnsi"/>
                <w:sz w:val="20"/>
                <w:szCs w:val="20"/>
              </w:rPr>
              <w:t>% des acteurs</w:t>
            </w:r>
            <w:r w:rsidR="00F83999">
              <w:rPr>
                <w:rFonts w:asciiTheme="majorHAnsi" w:hAnsiTheme="majorHAnsi" w:cstheme="majorHAnsi"/>
                <w:sz w:val="20"/>
                <w:szCs w:val="20"/>
              </w:rPr>
              <w:t xml:space="preserve"> apportant une prise en charge aux victimes</w:t>
            </w:r>
            <w:r w:rsidRPr="00D91C98">
              <w:rPr>
                <w:rFonts w:asciiTheme="majorHAnsi" w:hAnsiTheme="majorHAnsi" w:cstheme="majorHAnsi"/>
                <w:sz w:val="20"/>
                <w:szCs w:val="20"/>
              </w:rPr>
              <w:t xml:space="preserve"> formés à</w:t>
            </w:r>
            <w:r w:rsidR="00D37362">
              <w:rPr>
                <w:rFonts w:asciiTheme="majorHAnsi" w:hAnsiTheme="majorHAnsi" w:cstheme="majorHAnsi"/>
                <w:sz w:val="20"/>
                <w:szCs w:val="20"/>
              </w:rPr>
              <w:t xml:space="preserve"> la PEAS </w:t>
            </w:r>
          </w:p>
          <w:p w14:paraId="4B1D93E5" w14:textId="0D0199C6" w:rsidR="00F83999" w:rsidRPr="00D91C98" w:rsidRDefault="00F83999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385D8C" w14:textId="77777777" w:rsidR="005469A3" w:rsidRDefault="005469A3" w:rsidP="005469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BFA450" w14:textId="6A5C0018" w:rsidR="00FA76D4" w:rsidRPr="00114C88" w:rsidRDefault="00F310E7" w:rsidP="000C4F0B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Toutes les agences et organisations</w:t>
            </w:r>
          </w:p>
        </w:tc>
        <w:tc>
          <w:tcPr>
            <w:tcW w:w="2835" w:type="dxa"/>
            <w:shd w:val="clear" w:color="auto" w:fill="FFFFFF" w:themeFill="background1"/>
          </w:tcPr>
          <w:p w14:paraId="791B683B" w14:textId="77777777" w:rsidR="00DE79DE" w:rsidRDefault="00DE79DE" w:rsidP="007E299B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1BB991FD" w14:textId="1E594DAC" w:rsidR="00DB12D6" w:rsidRDefault="00987796" w:rsidP="00C05D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Sous-groupe de travail TF </w:t>
            </w:r>
            <w:r w:rsidR="00DB12D6">
              <w:rPr>
                <w:rFonts w:asciiTheme="majorHAnsi" w:hAnsiTheme="majorHAnsi" w:cstheme="majorHAnsi"/>
                <w:sz w:val="20"/>
                <w:szCs w:val="20"/>
              </w:rPr>
              <w:t>PEAS</w:t>
            </w:r>
          </w:p>
          <w:p w14:paraId="3512AF52" w14:textId="2CD8FEF4" w:rsidR="00C05DC9" w:rsidRPr="00D91C98" w:rsidRDefault="00C05DC9" w:rsidP="00C05D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  <w:p w14:paraId="7B0F6F05" w14:textId="54F62E9A" w:rsidR="00FC592C" w:rsidRPr="00114C88" w:rsidRDefault="00FC592C" w:rsidP="00C05DC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36C308" w14:textId="77777777" w:rsidR="000A1301" w:rsidRDefault="000A1301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A230A7B" w14:textId="7065EA14" w:rsidR="00FA76D4" w:rsidRPr="006F36FD" w:rsidRDefault="00FA76D4" w:rsidP="000A130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55C74E" w14:textId="77777777" w:rsidR="00FA76D4" w:rsidRPr="006F36FD" w:rsidRDefault="00FA76D4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CBE522" w14:textId="65E086B9" w:rsidR="00FA76D4" w:rsidRPr="006F36FD" w:rsidRDefault="00304DBF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1F22357A" w14:textId="735094BF" w:rsidR="00FA76D4" w:rsidRDefault="00BA3A46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7E6A40FD" w14:textId="7567561A" w:rsidR="00FA76D4" w:rsidRDefault="00BA3A46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48C28B05" w14:textId="77777777" w:rsidTr="00CC780D">
        <w:trPr>
          <w:trHeight w:val="337"/>
        </w:trPr>
        <w:tc>
          <w:tcPr>
            <w:tcW w:w="1843" w:type="dxa"/>
            <w:shd w:val="clear" w:color="auto" w:fill="AEAAAA" w:themeFill="background2" w:themeFillShade="BF"/>
          </w:tcPr>
          <w:p w14:paraId="4E7CA8BF" w14:textId="77777777" w:rsidR="008137F3" w:rsidRDefault="008137F3" w:rsidP="007E299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459" w:type="dxa"/>
            <w:gridSpan w:val="9"/>
            <w:shd w:val="clear" w:color="auto" w:fill="AEAAAA" w:themeFill="background2" w:themeFillShade="BF"/>
          </w:tcPr>
          <w:p w14:paraId="0ABB268C" w14:textId="67C36814" w:rsidR="008137F3" w:rsidRPr="006F36FD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AXE 4 : </w:t>
            </w:r>
            <w:r w:rsidRPr="00B407F1">
              <w:rPr>
                <w:rFonts w:asciiTheme="majorHAnsi" w:hAnsiTheme="majorHAnsi"/>
                <w:b/>
                <w:bCs/>
                <w:sz w:val="24"/>
                <w:szCs w:val="24"/>
              </w:rPr>
              <w:t>COORDINATION DES ACTIVITES</w:t>
            </w:r>
          </w:p>
        </w:tc>
      </w:tr>
      <w:tr w:rsidR="008137F3" w:rsidRPr="006F36FD" w14:paraId="0419F593" w14:textId="77777777" w:rsidTr="00BC361F">
        <w:trPr>
          <w:trHeight w:val="337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05A36904" w14:textId="789AB66E" w:rsidR="008137F3" w:rsidRDefault="008137F3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59DC2" w14:textId="099208CD" w:rsidR="00A9742F" w:rsidRDefault="00A9742F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685479" w14:textId="377D820B" w:rsidR="00A9742F" w:rsidRDefault="00A9742F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DC27D7" w14:textId="77777777" w:rsidR="001A690F" w:rsidRDefault="001A690F" w:rsidP="007E29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A599D29" w14:textId="001E41B6" w:rsidR="008137F3" w:rsidRDefault="00D10702" w:rsidP="007E29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R4. </w:t>
            </w:r>
            <w:r w:rsidR="008137F3" w:rsidRPr="005C024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 Groupe de travail </w:t>
            </w:r>
            <w:r w:rsidR="00F676C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pour la </w:t>
            </w:r>
            <w:r w:rsidR="008137F3" w:rsidRPr="005C024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PEAS est mis </w:t>
            </w:r>
            <w:r w:rsidR="008137F3">
              <w:rPr>
                <w:rFonts w:asciiTheme="majorHAnsi" w:hAnsiTheme="majorHAnsi"/>
                <w:b/>
                <w:bCs/>
                <w:sz w:val="20"/>
                <w:szCs w:val="20"/>
              </w:rPr>
              <w:t>en place</w:t>
            </w:r>
            <w:r w:rsidR="008137F3" w:rsidRPr="005C024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au niveau pays</w:t>
            </w:r>
            <w:r w:rsidR="008137F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et la redevabilité des agences et organisations sur la PEAS est assurée</w:t>
            </w:r>
          </w:p>
          <w:p w14:paraId="25BA1CCD" w14:textId="60EE8B0F" w:rsidR="00CC780D" w:rsidRPr="005C024B" w:rsidRDefault="00CC780D" w:rsidP="007E29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A421245" w14:textId="77777777" w:rsidR="00DA1195" w:rsidRDefault="00DA1195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CB3F05" w14:textId="58DE0BA5" w:rsidR="00CC780D" w:rsidRDefault="00D10702" w:rsidP="007E29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A.1 </w:t>
            </w:r>
            <w:r w:rsidR="008137F3" w:rsidRPr="00B92AED">
              <w:rPr>
                <w:rFonts w:asciiTheme="majorHAnsi" w:hAnsiTheme="majorHAnsi"/>
                <w:sz w:val="20"/>
                <w:szCs w:val="20"/>
              </w:rPr>
              <w:t xml:space="preserve">Désigner des points focaux au niveau national et terrain au sein de chaque agence du système des Nations </w:t>
            </w:r>
            <w:r w:rsidR="00F32AB3">
              <w:rPr>
                <w:rFonts w:asciiTheme="majorHAnsi" w:hAnsiTheme="majorHAnsi"/>
                <w:sz w:val="20"/>
                <w:szCs w:val="20"/>
              </w:rPr>
              <w:t>u</w:t>
            </w:r>
            <w:r w:rsidR="008137F3" w:rsidRPr="00B92AED">
              <w:rPr>
                <w:rFonts w:asciiTheme="majorHAnsi" w:hAnsiTheme="majorHAnsi"/>
                <w:sz w:val="20"/>
                <w:szCs w:val="20"/>
              </w:rPr>
              <w:t>nies (SNU) et des organisations non-gouvernementales internationales et nationales.</w:t>
            </w:r>
          </w:p>
          <w:p w14:paraId="27F115DB" w14:textId="0A043E00" w:rsidR="0006665B" w:rsidRPr="00B92AED" w:rsidRDefault="0006665B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1C6E79" w14:textId="77777777" w:rsidR="00DA1195" w:rsidRDefault="00DA119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E029EE" w14:textId="21E03DCB" w:rsidR="008137F3" w:rsidRPr="00B92AED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2AED">
              <w:rPr>
                <w:rFonts w:asciiTheme="majorHAnsi" w:hAnsiTheme="majorHAnsi" w:cstheme="majorHAnsi"/>
                <w:sz w:val="20"/>
                <w:szCs w:val="20"/>
              </w:rPr>
              <w:t>Liste actualisée de tous les points focaux PEAS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6DA3A" w14:textId="77777777" w:rsidR="00DA1195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57237" w14:textId="52C7117D" w:rsidR="008137F3" w:rsidRPr="00B92AED" w:rsidRDefault="008137F3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2AED">
              <w:rPr>
                <w:rFonts w:asciiTheme="majorHAnsi" w:hAnsiTheme="majorHAnsi" w:cstheme="majorHAnsi"/>
                <w:sz w:val="20"/>
                <w:szCs w:val="20"/>
              </w:rPr>
              <w:t>Agences/ organisations</w:t>
            </w:r>
          </w:p>
        </w:tc>
        <w:tc>
          <w:tcPr>
            <w:tcW w:w="2835" w:type="dxa"/>
            <w:shd w:val="clear" w:color="auto" w:fill="FFFFFF" w:themeFill="background1"/>
          </w:tcPr>
          <w:p w14:paraId="5FAB0A4F" w14:textId="77777777" w:rsidR="008137F3" w:rsidRDefault="008137F3" w:rsidP="000A20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D32AEC" w14:textId="23819C1C" w:rsidR="00D613D7" w:rsidRPr="00B92AED" w:rsidRDefault="00242117" w:rsidP="000A20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472A5F6D" w14:textId="77777777" w:rsidR="008137F3" w:rsidRPr="000A1301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7304C51" w14:textId="5CF64FF2" w:rsidR="00F3579E" w:rsidRPr="000A1301" w:rsidRDefault="00F3579E" w:rsidP="00750A6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ECBA3C" w14:textId="06F45C1F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EB15E7A" w14:textId="677ECABB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45821728" w14:textId="06344DFD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2ABF3326" w14:textId="1FA0A586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41F9577E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570986E9" w14:textId="77777777" w:rsidR="008137F3" w:rsidRPr="00B92AED" w:rsidRDefault="008137F3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BC0AE24" w14:textId="77777777" w:rsidR="00DA1195" w:rsidRDefault="00DA1195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F50449" w14:textId="0EB6F4D3" w:rsidR="008137F3" w:rsidRPr="00A22480" w:rsidRDefault="00D10702" w:rsidP="00A2248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A.2 </w:t>
            </w:r>
            <w:r w:rsidR="008137F3" w:rsidRPr="00B92AED">
              <w:rPr>
                <w:rFonts w:asciiTheme="majorHAnsi" w:hAnsiTheme="majorHAnsi"/>
                <w:sz w:val="20"/>
                <w:szCs w:val="20"/>
              </w:rPr>
              <w:t>Elaborer les termes de référence de la Taskforce PEAS.</w:t>
            </w:r>
            <w:r w:rsidR="00A224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CD61819" w14:textId="77777777" w:rsidR="00CC780D" w:rsidRPr="00B92AED" w:rsidRDefault="00CC780D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3C560E" w14:textId="43E8258A" w:rsidR="008137F3" w:rsidRPr="00B92AED" w:rsidRDefault="008137F3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BFDDB06" w14:textId="77777777" w:rsidR="00DA1195" w:rsidRDefault="00DA119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BE1AE5" w14:textId="79F75E0E" w:rsidR="008137F3" w:rsidRPr="00B92AED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2AED">
              <w:rPr>
                <w:rFonts w:asciiTheme="majorHAnsi" w:hAnsiTheme="majorHAnsi" w:cstheme="majorHAnsi"/>
                <w:sz w:val="20"/>
                <w:szCs w:val="20"/>
              </w:rPr>
              <w:t>Copie validée des termes de référence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7F311DF" w14:textId="77777777" w:rsidR="00DA1195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AABCC" w14:textId="18BECBF0" w:rsidR="008137F3" w:rsidRPr="00B92AED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TF</w:t>
            </w:r>
          </w:p>
        </w:tc>
        <w:tc>
          <w:tcPr>
            <w:tcW w:w="2835" w:type="dxa"/>
            <w:shd w:val="clear" w:color="auto" w:fill="FFFFFF" w:themeFill="background1"/>
          </w:tcPr>
          <w:p w14:paraId="73ED4E3A" w14:textId="77777777" w:rsidR="008137F3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B8261" w14:textId="1911E91E" w:rsidR="00DA1195" w:rsidRPr="00B92AED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4F525049" w14:textId="77777777" w:rsidR="008137F3" w:rsidRPr="000A1301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FD03C9E" w14:textId="145A081F" w:rsidR="00F3579E" w:rsidRPr="000A1301" w:rsidRDefault="00F3579E" w:rsidP="00F3579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B25BB5" w14:textId="4AE36B7D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F74EE39" w14:textId="77777777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3E3AE6B" w14:textId="77777777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A701B6" w14:textId="77777777" w:rsidR="008137F3" w:rsidRPr="00B92AED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7F3" w:rsidRPr="006F36FD" w14:paraId="6A2C1D99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6ED6A43A" w14:textId="77777777" w:rsidR="008137F3" w:rsidRPr="00B92AED" w:rsidRDefault="008137F3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1E98304" w14:textId="6653FF5A" w:rsidR="007D08DE" w:rsidRDefault="007D08DE" w:rsidP="00A2248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400AC9" w14:textId="0FD3D95E" w:rsidR="00A22480" w:rsidRPr="007D08DE" w:rsidRDefault="00D10702" w:rsidP="00A224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A.3 </w:t>
            </w:r>
            <w:r w:rsidR="007D08DE">
              <w:rPr>
                <w:rFonts w:asciiTheme="majorHAnsi" w:hAnsiTheme="majorHAnsi"/>
                <w:sz w:val="20"/>
                <w:szCs w:val="20"/>
              </w:rPr>
              <w:t xml:space="preserve">S’assurer </w:t>
            </w:r>
            <w:r w:rsidR="000F6EF5">
              <w:rPr>
                <w:rFonts w:asciiTheme="majorHAnsi" w:hAnsiTheme="majorHAnsi"/>
                <w:sz w:val="20"/>
                <w:szCs w:val="20"/>
              </w:rPr>
              <w:t xml:space="preserve">au sein de chaque agence/organisation </w:t>
            </w:r>
            <w:r w:rsidR="007D08DE">
              <w:rPr>
                <w:rFonts w:asciiTheme="majorHAnsi" w:hAnsiTheme="majorHAnsi"/>
                <w:sz w:val="20"/>
                <w:szCs w:val="20"/>
              </w:rPr>
              <w:t xml:space="preserve">que les responsabilités </w:t>
            </w:r>
            <w:r w:rsidR="000F6EF5">
              <w:rPr>
                <w:rFonts w:asciiTheme="majorHAnsi" w:hAnsiTheme="majorHAnsi"/>
                <w:sz w:val="20"/>
                <w:szCs w:val="20"/>
              </w:rPr>
              <w:t xml:space="preserve">relatives à la </w:t>
            </w:r>
            <w:r w:rsidR="007D08DE">
              <w:rPr>
                <w:rFonts w:asciiTheme="majorHAnsi" w:hAnsiTheme="majorHAnsi"/>
                <w:sz w:val="20"/>
                <w:szCs w:val="20"/>
              </w:rPr>
              <w:t xml:space="preserve">PEAS sont mentionnées dans </w:t>
            </w:r>
            <w:r w:rsidR="000F6EF5">
              <w:rPr>
                <w:rFonts w:asciiTheme="majorHAnsi" w:hAnsiTheme="majorHAnsi"/>
                <w:sz w:val="20"/>
                <w:szCs w:val="20"/>
              </w:rPr>
              <w:t>l</w:t>
            </w:r>
            <w:r w:rsidR="007D08DE">
              <w:rPr>
                <w:rFonts w:asciiTheme="majorHAnsi" w:hAnsiTheme="majorHAnsi"/>
                <w:sz w:val="20"/>
                <w:szCs w:val="20"/>
              </w:rPr>
              <w:t xml:space="preserve">es termes de référence </w:t>
            </w:r>
            <w:r w:rsidR="000F6EF5">
              <w:rPr>
                <w:rFonts w:asciiTheme="majorHAnsi" w:hAnsiTheme="majorHAnsi"/>
                <w:sz w:val="20"/>
                <w:szCs w:val="20"/>
              </w:rPr>
              <w:t>de la personne désignée en tant que point focal.</w:t>
            </w:r>
          </w:p>
          <w:p w14:paraId="0F03F1FF" w14:textId="52BDED68" w:rsidR="00C72361" w:rsidRPr="00B92AED" w:rsidRDefault="00C72361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2721354" w14:textId="7A369CB8" w:rsidR="00DA1195" w:rsidRDefault="00DA1195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6627D8" w14:textId="77777777" w:rsidR="007D08DE" w:rsidRDefault="007D08DE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6774F1" w14:textId="6161A4AD" w:rsidR="008137F3" w:rsidRPr="00B92AED" w:rsidRDefault="008137F3" w:rsidP="007E2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2AED">
              <w:rPr>
                <w:rFonts w:asciiTheme="majorHAnsi" w:hAnsiTheme="majorHAnsi" w:cstheme="majorHAnsi"/>
                <w:sz w:val="20"/>
                <w:szCs w:val="20"/>
              </w:rPr>
              <w:t>Copie validée des termes de référence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4412E813" w14:textId="77777777" w:rsidR="00DA1195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FE08F6" w14:textId="72BE7044" w:rsidR="008137F3" w:rsidRPr="00B92AED" w:rsidRDefault="000A2018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TF</w:t>
            </w:r>
          </w:p>
        </w:tc>
        <w:tc>
          <w:tcPr>
            <w:tcW w:w="2835" w:type="dxa"/>
            <w:shd w:val="clear" w:color="auto" w:fill="FFFFFF" w:themeFill="background1"/>
          </w:tcPr>
          <w:p w14:paraId="234E1D7A" w14:textId="77777777" w:rsidR="008137F3" w:rsidRDefault="008137F3" w:rsidP="000A20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3043A3" w14:textId="3DEBEA06" w:rsidR="000A2018" w:rsidRPr="00B92AED" w:rsidRDefault="000A2018" w:rsidP="000A20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1145D197" w14:textId="77777777" w:rsidR="008137F3" w:rsidRPr="000A1301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83214A" w14:textId="44553834" w:rsidR="00F3579E" w:rsidRPr="000A1301" w:rsidRDefault="00F3579E" w:rsidP="00F3579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A0D2AC" w14:textId="670087AB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BEF291" w14:textId="2DC86696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706C7599" w14:textId="2E4D4E59" w:rsidR="008137F3" w:rsidRPr="00024FE0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0BE84F05" w14:textId="0D4F07D1" w:rsidR="008137F3" w:rsidRPr="000F6EF5" w:rsidRDefault="000F6EF5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F6E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  <w:tr w:rsidR="008137F3" w:rsidRPr="006F36FD" w14:paraId="48C7323F" w14:textId="77777777" w:rsidTr="00BC361F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14:paraId="681DCC79" w14:textId="77777777" w:rsidR="008137F3" w:rsidRPr="00B92AED" w:rsidRDefault="008137F3" w:rsidP="007E29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9BCE247" w14:textId="77777777" w:rsidR="00DA1195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32E0DE" w14:textId="68836EAD" w:rsidR="008137F3" w:rsidRPr="00B92AED" w:rsidRDefault="00D10702" w:rsidP="00DA11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A.4 </w:t>
            </w:r>
            <w:r w:rsidR="008137F3" w:rsidRPr="00B92AED">
              <w:rPr>
                <w:rFonts w:asciiTheme="majorHAnsi" w:hAnsiTheme="majorHAnsi" w:cstheme="majorHAnsi"/>
                <w:sz w:val="20"/>
                <w:szCs w:val="20"/>
              </w:rPr>
              <w:t>Continuer à fournir des mises à jour régulières par le biais des réunions mensuelles de la Taskforce PEAS.</w:t>
            </w:r>
          </w:p>
          <w:p w14:paraId="5A3A2B20" w14:textId="77777777" w:rsidR="008137F3" w:rsidRPr="00B92AED" w:rsidRDefault="008137F3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4F2B73" w14:textId="77777777" w:rsidR="00DA1195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CCE1F9" w14:textId="5191CC91" w:rsidR="008137F3" w:rsidRPr="00B92AED" w:rsidRDefault="008137F3" w:rsidP="008470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Comptes rendus de la réunion de la</w:t>
            </w:r>
            <w:r w:rsidR="008470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Task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force partagés</w:t>
            </w:r>
            <w:r w:rsidR="00306B9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955D6B" w14:textId="77777777" w:rsidR="008137F3" w:rsidRPr="00B92AED" w:rsidRDefault="008137F3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999A7D" w14:textId="77777777" w:rsidR="008137F3" w:rsidRDefault="008137F3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2D8FD6" w14:textId="46381B2D" w:rsidR="00DA1195" w:rsidRPr="00B92AED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PSEA</w:t>
            </w:r>
          </w:p>
        </w:tc>
        <w:tc>
          <w:tcPr>
            <w:tcW w:w="2835" w:type="dxa"/>
            <w:shd w:val="clear" w:color="auto" w:fill="FFFFFF" w:themeFill="background1"/>
          </w:tcPr>
          <w:p w14:paraId="0D6246BE" w14:textId="77777777" w:rsidR="008137F3" w:rsidRDefault="008137F3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C16DC8" w14:textId="44779498" w:rsidR="00DA1195" w:rsidRPr="00B92AED" w:rsidRDefault="00DA1195" w:rsidP="00DA11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Coordinatrice P</w:t>
            </w:r>
            <w:r w:rsidR="003B5DE1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4F60B" w14:textId="77777777" w:rsidR="008137F3" w:rsidRPr="000A1301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BF3E6E5" w14:textId="6C383BA6" w:rsidR="00F3579E" w:rsidRPr="000A1301" w:rsidRDefault="00F3579E" w:rsidP="00F3579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EDDD98" w14:textId="7C05F669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7E5AFA8A" w14:textId="0BCB140E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14:paraId="034A76AC" w14:textId="08CD24F2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14:paraId="5AB765BF" w14:textId="410F12CF" w:rsidR="008137F3" w:rsidRPr="00024FE0" w:rsidRDefault="008137F3" w:rsidP="007E299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4F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</w:p>
        </w:tc>
      </w:tr>
    </w:tbl>
    <w:p w14:paraId="3B3440BC" w14:textId="77777777" w:rsidR="0030753A" w:rsidRPr="006F36FD" w:rsidRDefault="0030753A">
      <w:pPr>
        <w:rPr>
          <w:rFonts w:asciiTheme="majorHAnsi" w:hAnsiTheme="majorHAnsi" w:cstheme="majorHAnsi"/>
          <w:sz w:val="20"/>
          <w:szCs w:val="20"/>
        </w:rPr>
      </w:pPr>
    </w:p>
    <w:sectPr w:rsidR="0030753A" w:rsidRPr="006F36FD" w:rsidSect="006F3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846D8"/>
    <w:multiLevelType w:val="hybridMultilevel"/>
    <w:tmpl w:val="539C20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820"/>
    <w:multiLevelType w:val="hybridMultilevel"/>
    <w:tmpl w:val="96781E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7D8C"/>
    <w:multiLevelType w:val="hybridMultilevel"/>
    <w:tmpl w:val="40F66B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D"/>
    <w:rsid w:val="0000373E"/>
    <w:rsid w:val="00015128"/>
    <w:rsid w:val="0002330B"/>
    <w:rsid w:val="00024FE0"/>
    <w:rsid w:val="00031F2B"/>
    <w:rsid w:val="00032478"/>
    <w:rsid w:val="00033491"/>
    <w:rsid w:val="00040B7A"/>
    <w:rsid w:val="00042FF7"/>
    <w:rsid w:val="00052C50"/>
    <w:rsid w:val="000573CC"/>
    <w:rsid w:val="00064A00"/>
    <w:rsid w:val="00065329"/>
    <w:rsid w:val="0006665B"/>
    <w:rsid w:val="00097A4B"/>
    <w:rsid w:val="000A1301"/>
    <w:rsid w:val="000A2018"/>
    <w:rsid w:val="000B0836"/>
    <w:rsid w:val="000B7E3D"/>
    <w:rsid w:val="000C145A"/>
    <w:rsid w:val="000C4C1D"/>
    <w:rsid w:val="000C4F0B"/>
    <w:rsid w:val="000C7571"/>
    <w:rsid w:val="000D2C54"/>
    <w:rsid w:val="000E5805"/>
    <w:rsid w:val="000E582B"/>
    <w:rsid w:val="000F17C3"/>
    <w:rsid w:val="000F6EF5"/>
    <w:rsid w:val="00106386"/>
    <w:rsid w:val="00106F08"/>
    <w:rsid w:val="00114C88"/>
    <w:rsid w:val="001179F9"/>
    <w:rsid w:val="0012451B"/>
    <w:rsid w:val="00135EDA"/>
    <w:rsid w:val="00136CB7"/>
    <w:rsid w:val="00140354"/>
    <w:rsid w:val="001555BF"/>
    <w:rsid w:val="001627DB"/>
    <w:rsid w:val="00163A94"/>
    <w:rsid w:val="00183637"/>
    <w:rsid w:val="001870B4"/>
    <w:rsid w:val="001A22B2"/>
    <w:rsid w:val="001A2480"/>
    <w:rsid w:val="001A343C"/>
    <w:rsid w:val="001A690F"/>
    <w:rsid w:val="001A7384"/>
    <w:rsid w:val="001D02E2"/>
    <w:rsid w:val="001E3225"/>
    <w:rsid w:val="001F10BE"/>
    <w:rsid w:val="002005C8"/>
    <w:rsid w:val="0020088F"/>
    <w:rsid w:val="00206559"/>
    <w:rsid w:val="002232AE"/>
    <w:rsid w:val="00237839"/>
    <w:rsid w:val="00242005"/>
    <w:rsid w:val="00242117"/>
    <w:rsid w:val="00246CD4"/>
    <w:rsid w:val="00251A75"/>
    <w:rsid w:val="002610FD"/>
    <w:rsid w:val="00283214"/>
    <w:rsid w:val="002900B5"/>
    <w:rsid w:val="00295075"/>
    <w:rsid w:val="00296ABC"/>
    <w:rsid w:val="00296B6C"/>
    <w:rsid w:val="00297BAD"/>
    <w:rsid w:val="002B059C"/>
    <w:rsid w:val="002C75D8"/>
    <w:rsid w:val="002E7C4D"/>
    <w:rsid w:val="002F0915"/>
    <w:rsid w:val="00304DBF"/>
    <w:rsid w:val="00306A65"/>
    <w:rsid w:val="00306B9E"/>
    <w:rsid w:val="00306BB3"/>
    <w:rsid w:val="0030753A"/>
    <w:rsid w:val="00316500"/>
    <w:rsid w:val="00321EE2"/>
    <w:rsid w:val="00321EF9"/>
    <w:rsid w:val="00322EDC"/>
    <w:rsid w:val="0033281E"/>
    <w:rsid w:val="00336422"/>
    <w:rsid w:val="003400F0"/>
    <w:rsid w:val="0034180E"/>
    <w:rsid w:val="0034384E"/>
    <w:rsid w:val="003440BB"/>
    <w:rsid w:val="0036492A"/>
    <w:rsid w:val="00377FD8"/>
    <w:rsid w:val="00383065"/>
    <w:rsid w:val="00387EDE"/>
    <w:rsid w:val="003A219A"/>
    <w:rsid w:val="003B0A04"/>
    <w:rsid w:val="003B5DE1"/>
    <w:rsid w:val="003C238E"/>
    <w:rsid w:val="003C6390"/>
    <w:rsid w:val="003D1731"/>
    <w:rsid w:val="003D42A2"/>
    <w:rsid w:val="003F274C"/>
    <w:rsid w:val="003F3EFA"/>
    <w:rsid w:val="003F7A83"/>
    <w:rsid w:val="00404C59"/>
    <w:rsid w:val="00411742"/>
    <w:rsid w:val="00417DA5"/>
    <w:rsid w:val="004203AD"/>
    <w:rsid w:val="00435CC6"/>
    <w:rsid w:val="00446729"/>
    <w:rsid w:val="00453FCB"/>
    <w:rsid w:val="00474218"/>
    <w:rsid w:val="004762F7"/>
    <w:rsid w:val="00480B43"/>
    <w:rsid w:val="004833BC"/>
    <w:rsid w:val="00487612"/>
    <w:rsid w:val="004910E8"/>
    <w:rsid w:val="00491B58"/>
    <w:rsid w:val="004939C9"/>
    <w:rsid w:val="004B29D6"/>
    <w:rsid w:val="004C1CA9"/>
    <w:rsid w:val="004C4A48"/>
    <w:rsid w:val="004D07ED"/>
    <w:rsid w:val="004E0DE2"/>
    <w:rsid w:val="004E3194"/>
    <w:rsid w:val="004E6681"/>
    <w:rsid w:val="00502430"/>
    <w:rsid w:val="00507D90"/>
    <w:rsid w:val="0051088E"/>
    <w:rsid w:val="00514769"/>
    <w:rsid w:val="00521FBB"/>
    <w:rsid w:val="00523ADE"/>
    <w:rsid w:val="005370DD"/>
    <w:rsid w:val="005454A6"/>
    <w:rsid w:val="005469A3"/>
    <w:rsid w:val="00566E39"/>
    <w:rsid w:val="0057091B"/>
    <w:rsid w:val="00571945"/>
    <w:rsid w:val="005723E9"/>
    <w:rsid w:val="00573774"/>
    <w:rsid w:val="00573EAB"/>
    <w:rsid w:val="0058094B"/>
    <w:rsid w:val="00587FF8"/>
    <w:rsid w:val="005A1D4D"/>
    <w:rsid w:val="005A3CAB"/>
    <w:rsid w:val="005B3025"/>
    <w:rsid w:val="005B6243"/>
    <w:rsid w:val="005C024B"/>
    <w:rsid w:val="005C2E27"/>
    <w:rsid w:val="005D2722"/>
    <w:rsid w:val="005D2E8E"/>
    <w:rsid w:val="005D47BA"/>
    <w:rsid w:val="005E7CDA"/>
    <w:rsid w:val="00607AB7"/>
    <w:rsid w:val="00623C5F"/>
    <w:rsid w:val="00625F56"/>
    <w:rsid w:val="00637F5B"/>
    <w:rsid w:val="00640F5F"/>
    <w:rsid w:val="0064326C"/>
    <w:rsid w:val="006459E8"/>
    <w:rsid w:val="00647AA4"/>
    <w:rsid w:val="006658C4"/>
    <w:rsid w:val="00681D37"/>
    <w:rsid w:val="0068297A"/>
    <w:rsid w:val="006A77D8"/>
    <w:rsid w:val="006C3DE1"/>
    <w:rsid w:val="006D1B1A"/>
    <w:rsid w:val="006D45CB"/>
    <w:rsid w:val="006E18C8"/>
    <w:rsid w:val="006F36FD"/>
    <w:rsid w:val="006F3E62"/>
    <w:rsid w:val="00703880"/>
    <w:rsid w:val="0070579D"/>
    <w:rsid w:val="0073118C"/>
    <w:rsid w:val="007330C2"/>
    <w:rsid w:val="00733409"/>
    <w:rsid w:val="0074204E"/>
    <w:rsid w:val="00750A64"/>
    <w:rsid w:val="00774D0E"/>
    <w:rsid w:val="007769F6"/>
    <w:rsid w:val="0078178C"/>
    <w:rsid w:val="00783183"/>
    <w:rsid w:val="007916D1"/>
    <w:rsid w:val="00797D3D"/>
    <w:rsid w:val="007B2E86"/>
    <w:rsid w:val="007B53BC"/>
    <w:rsid w:val="007B77D2"/>
    <w:rsid w:val="007C01E5"/>
    <w:rsid w:val="007C6CFB"/>
    <w:rsid w:val="007D08DE"/>
    <w:rsid w:val="007D30F8"/>
    <w:rsid w:val="007D6EEF"/>
    <w:rsid w:val="007E299B"/>
    <w:rsid w:val="007E561E"/>
    <w:rsid w:val="007E7D15"/>
    <w:rsid w:val="007F39A3"/>
    <w:rsid w:val="007F5FE3"/>
    <w:rsid w:val="008137F3"/>
    <w:rsid w:val="00821ABA"/>
    <w:rsid w:val="00823C88"/>
    <w:rsid w:val="00836CE2"/>
    <w:rsid w:val="00846CB6"/>
    <w:rsid w:val="00847011"/>
    <w:rsid w:val="00850471"/>
    <w:rsid w:val="0085246E"/>
    <w:rsid w:val="00852EEA"/>
    <w:rsid w:val="00860E64"/>
    <w:rsid w:val="00873B5A"/>
    <w:rsid w:val="00880B78"/>
    <w:rsid w:val="00881C31"/>
    <w:rsid w:val="008834D0"/>
    <w:rsid w:val="00896150"/>
    <w:rsid w:val="00896B9B"/>
    <w:rsid w:val="008B71D3"/>
    <w:rsid w:val="008C0DAE"/>
    <w:rsid w:val="008C39F0"/>
    <w:rsid w:val="008D1C0E"/>
    <w:rsid w:val="008D6047"/>
    <w:rsid w:val="008E20AD"/>
    <w:rsid w:val="009059C7"/>
    <w:rsid w:val="0093349A"/>
    <w:rsid w:val="00942A1E"/>
    <w:rsid w:val="009442A3"/>
    <w:rsid w:val="009504E8"/>
    <w:rsid w:val="009531F5"/>
    <w:rsid w:val="009543F9"/>
    <w:rsid w:val="00955851"/>
    <w:rsid w:val="00966B19"/>
    <w:rsid w:val="00987796"/>
    <w:rsid w:val="00991D39"/>
    <w:rsid w:val="009A2CBD"/>
    <w:rsid w:val="009A2F95"/>
    <w:rsid w:val="009E48B3"/>
    <w:rsid w:val="009E629C"/>
    <w:rsid w:val="009F6904"/>
    <w:rsid w:val="00A002B2"/>
    <w:rsid w:val="00A05B99"/>
    <w:rsid w:val="00A075EC"/>
    <w:rsid w:val="00A1693F"/>
    <w:rsid w:val="00A17F3F"/>
    <w:rsid w:val="00A22480"/>
    <w:rsid w:val="00A234BA"/>
    <w:rsid w:val="00A9601B"/>
    <w:rsid w:val="00A9742F"/>
    <w:rsid w:val="00AB68B0"/>
    <w:rsid w:val="00AD258F"/>
    <w:rsid w:val="00AD77C1"/>
    <w:rsid w:val="00AF1F07"/>
    <w:rsid w:val="00AF4188"/>
    <w:rsid w:val="00B028C8"/>
    <w:rsid w:val="00B0732A"/>
    <w:rsid w:val="00B407F1"/>
    <w:rsid w:val="00B47ACF"/>
    <w:rsid w:val="00B504B1"/>
    <w:rsid w:val="00B55D37"/>
    <w:rsid w:val="00B55FD6"/>
    <w:rsid w:val="00B657AF"/>
    <w:rsid w:val="00B8656F"/>
    <w:rsid w:val="00B92AED"/>
    <w:rsid w:val="00BA3A46"/>
    <w:rsid w:val="00BB06FC"/>
    <w:rsid w:val="00BB23C3"/>
    <w:rsid w:val="00BB7B17"/>
    <w:rsid w:val="00BC361F"/>
    <w:rsid w:val="00BD5748"/>
    <w:rsid w:val="00BE0EF3"/>
    <w:rsid w:val="00BF28A8"/>
    <w:rsid w:val="00BF4FC7"/>
    <w:rsid w:val="00BF650A"/>
    <w:rsid w:val="00C05DC9"/>
    <w:rsid w:val="00C16197"/>
    <w:rsid w:val="00C16600"/>
    <w:rsid w:val="00C3257C"/>
    <w:rsid w:val="00C44CDE"/>
    <w:rsid w:val="00C464E3"/>
    <w:rsid w:val="00C5472D"/>
    <w:rsid w:val="00C602E2"/>
    <w:rsid w:val="00C67C49"/>
    <w:rsid w:val="00C72361"/>
    <w:rsid w:val="00C90D91"/>
    <w:rsid w:val="00C912BE"/>
    <w:rsid w:val="00C92F8D"/>
    <w:rsid w:val="00CA674D"/>
    <w:rsid w:val="00CB0E9E"/>
    <w:rsid w:val="00CB4C5E"/>
    <w:rsid w:val="00CC1EDB"/>
    <w:rsid w:val="00CC780D"/>
    <w:rsid w:val="00CD3F11"/>
    <w:rsid w:val="00D10702"/>
    <w:rsid w:val="00D16B4C"/>
    <w:rsid w:val="00D33DE2"/>
    <w:rsid w:val="00D37362"/>
    <w:rsid w:val="00D5495D"/>
    <w:rsid w:val="00D613D7"/>
    <w:rsid w:val="00D62EBD"/>
    <w:rsid w:val="00D70AD5"/>
    <w:rsid w:val="00D748EB"/>
    <w:rsid w:val="00D75EC9"/>
    <w:rsid w:val="00D77D7D"/>
    <w:rsid w:val="00D871D6"/>
    <w:rsid w:val="00D87B37"/>
    <w:rsid w:val="00D905B9"/>
    <w:rsid w:val="00D91C98"/>
    <w:rsid w:val="00D9331A"/>
    <w:rsid w:val="00DA1195"/>
    <w:rsid w:val="00DA33A2"/>
    <w:rsid w:val="00DA633C"/>
    <w:rsid w:val="00DA7756"/>
    <w:rsid w:val="00DA7F25"/>
    <w:rsid w:val="00DB12D6"/>
    <w:rsid w:val="00DB5181"/>
    <w:rsid w:val="00DC1697"/>
    <w:rsid w:val="00DC65F0"/>
    <w:rsid w:val="00DD553E"/>
    <w:rsid w:val="00DD64CC"/>
    <w:rsid w:val="00DE0DC6"/>
    <w:rsid w:val="00DE3D7B"/>
    <w:rsid w:val="00DE79DE"/>
    <w:rsid w:val="00DF0FED"/>
    <w:rsid w:val="00DF362A"/>
    <w:rsid w:val="00DF3962"/>
    <w:rsid w:val="00E068D8"/>
    <w:rsid w:val="00E45550"/>
    <w:rsid w:val="00E5624C"/>
    <w:rsid w:val="00E673C5"/>
    <w:rsid w:val="00E736FA"/>
    <w:rsid w:val="00E76B12"/>
    <w:rsid w:val="00E8414E"/>
    <w:rsid w:val="00E95CA5"/>
    <w:rsid w:val="00EA1559"/>
    <w:rsid w:val="00EA15BE"/>
    <w:rsid w:val="00EA3BCD"/>
    <w:rsid w:val="00EA6636"/>
    <w:rsid w:val="00EA67D3"/>
    <w:rsid w:val="00EC1071"/>
    <w:rsid w:val="00EC163D"/>
    <w:rsid w:val="00ED0C1C"/>
    <w:rsid w:val="00EF3731"/>
    <w:rsid w:val="00EF7514"/>
    <w:rsid w:val="00F13C5D"/>
    <w:rsid w:val="00F310E7"/>
    <w:rsid w:val="00F32AB3"/>
    <w:rsid w:val="00F3579E"/>
    <w:rsid w:val="00F50228"/>
    <w:rsid w:val="00F54C98"/>
    <w:rsid w:val="00F63CEB"/>
    <w:rsid w:val="00F676C4"/>
    <w:rsid w:val="00F83999"/>
    <w:rsid w:val="00F962B4"/>
    <w:rsid w:val="00F97AB3"/>
    <w:rsid w:val="00FA0033"/>
    <w:rsid w:val="00FA1E4E"/>
    <w:rsid w:val="00FA4BD4"/>
    <w:rsid w:val="00FA7332"/>
    <w:rsid w:val="00FA76D4"/>
    <w:rsid w:val="00FC592C"/>
    <w:rsid w:val="00FE0214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3E20"/>
  <w15:chartTrackingRefBased/>
  <w15:docId w15:val="{B7D28B70-8760-4D55-A52A-937F028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DD64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C6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4C4A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4A4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E56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6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ort-UN-Haiti@u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4F2D-C203-4152-B0F1-AC5B91EB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Isabelle Haboury</cp:lastModifiedBy>
  <cp:revision>328</cp:revision>
  <dcterms:created xsi:type="dcterms:W3CDTF">2021-01-24T15:07:00Z</dcterms:created>
  <dcterms:modified xsi:type="dcterms:W3CDTF">2021-07-15T16:49:00Z</dcterms:modified>
</cp:coreProperties>
</file>