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DDEA3" w14:textId="43A5E415" w:rsidR="005163C6" w:rsidRPr="00EE1CFA" w:rsidRDefault="003270EA" w:rsidP="003270EA">
      <w:pPr>
        <w:jc w:val="center"/>
        <w:rPr>
          <w:b/>
          <w:bCs/>
          <w:color w:val="0097CC"/>
          <w:sz w:val="24"/>
          <w:szCs w:val="24"/>
          <w:lang w:val="en-GB"/>
        </w:rPr>
      </w:pPr>
      <w:r w:rsidRPr="00EE1CFA">
        <w:rPr>
          <w:b/>
          <w:bCs/>
          <w:color w:val="0097CC"/>
          <w:sz w:val="24"/>
          <w:szCs w:val="24"/>
          <w:lang w:val="en-GB"/>
        </w:rPr>
        <w:t>Hotline Standard Operating Procedures (SOPs) for SEA related calls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270EA" w:rsidRPr="00B652FD" w14:paraId="37186B33" w14:textId="77777777" w:rsidTr="009F70B1">
        <w:tc>
          <w:tcPr>
            <w:tcW w:w="9350" w:type="dxa"/>
            <w:shd w:val="clear" w:color="auto" w:fill="5DD5FF"/>
          </w:tcPr>
          <w:p w14:paraId="1B0C0494" w14:textId="2837F31A" w:rsidR="003270EA" w:rsidRPr="00B652FD" w:rsidRDefault="003270EA">
            <w:pPr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B652FD">
              <w:rPr>
                <w:rFonts w:asciiTheme="majorHAnsi" w:hAnsiTheme="majorHAnsi" w:cstheme="majorHAnsi"/>
                <w:b/>
                <w:bCs/>
                <w:lang w:val="en-GB"/>
              </w:rPr>
              <w:t>Overview</w:t>
            </w:r>
          </w:p>
        </w:tc>
      </w:tr>
      <w:tr w:rsidR="003270EA" w:rsidRPr="00B652FD" w14:paraId="1829EAD1" w14:textId="77777777" w:rsidTr="009F70B1">
        <w:tc>
          <w:tcPr>
            <w:tcW w:w="9350" w:type="dxa"/>
          </w:tcPr>
          <w:p w14:paraId="3ED54E4E" w14:textId="0E8989AB" w:rsidR="00F77188" w:rsidRPr="00B652FD" w:rsidRDefault="003270EA" w:rsidP="00134DE3">
            <w:pPr>
              <w:jc w:val="both"/>
              <w:rPr>
                <w:rFonts w:asciiTheme="majorHAnsi" w:hAnsiTheme="majorHAnsi" w:cstheme="majorHAnsi"/>
                <w:lang w:val="en-GB"/>
              </w:rPr>
            </w:pPr>
            <w:r w:rsidRPr="00B652FD">
              <w:rPr>
                <w:rFonts w:asciiTheme="majorHAnsi" w:hAnsiTheme="majorHAnsi" w:cstheme="majorHAnsi"/>
                <w:lang w:val="en-GB"/>
              </w:rPr>
              <w:t>Th</w:t>
            </w:r>
            <w:r w:rsidR="009F70B1" w:rsidRPr="00B652FD">
              <w:rPr>
                <w:rFonts w:asciiTheme="majorHAnsi" w:hAnsiTheme="majorHAnsi" w:cstheme="majorHAnsi"/>
                <w:lang w:val="en-GB"/>
              </w:rPr>
              <w:t>ese</w:t>
            </w:r>
            <w:r w:rsidRPr="00B652FD">
              <w:rPr>
                <w:rFonts w:asciiTheme="majorHAnsi" w:hAnsiTheme="majorHAnsi" w:cstheme="majorHAnsi"/>
                <w:lang w:val="en-GB"/>
              </w:rPr>
              <w:t xml:space="preserve"> SOP</w:t>
            </w:r>
            <w:r w:rsidR="009F70B1" w:rsidRPr="00B652FD">
              <w:rPr>
                <w:rFonts w:asciiTheme="majorHAnsi" w:hAnsiTheme="majorHAnsi" w:cstheme="majorHAnsi"/>
                <w:lang w:val="en-GB"/>
              </w:rPr>
              <w:t>s</w:t>
            </w:r>
            <w:r w:rsidRPr="00B652FD">
              <w:rPr>
                <w:rFonts w:asciiTheme="majorHAnsi" w:hAnsiTheme="majorHAnsi" w:cstheme="majorHAnsi"/>
                <w:lang w:val="en-GB"/>
              </w:rPr>
              <w:t xml:space="preserve"> cover the process of receiving and </w:t>
            </w:r>
            <w:r w:rsidR="009F70B1" w:rsidRPr="00B652FD">
              <w:rPr>
                <w:rFonts w:asciiTheme="majorHAnsi" w:hAnsiTheme="majorHAnsi" w:cstheme="majorHAnsi"/>
                <w:lang w:val="en-GB"/>
              </w:rPr>
              <w:t xml:space="preserve">transferring SEA related calls received through the UN Guatemala hotline managed by the WFP. </w:t>
            </w:r>
            <w:r w:rsidR="00F77188">
              <w:rPr>
                <w:rFonts w:asciiTheme="majorHAnsi" w:hAnsiTheme="majorHAnsi" w:cstheme="majorHAnsi"/>
                <w:lang w:val="en-GB"/>
              </w:rPr>
              <w:t>WFP is encouraged to consider how to add the procedures for SEA related calls to their existing SOPs/guidelines.</w:t>
            </w:r>
          </w:p>
        </w:tc>
      </w:tr>
      <w:tr w:rsidR="003270EA" w:rsidRPr="00B652FD" w14:paraId="06D885AF" w14:textId="77777777" w:rsidTr="009F70B1">
        <w:tc>
          <w:tcPr>
            <w:tcW w:w="9350" w:type="dxa"/>
            <w:shd w:val="clear" w:color="auto" w:fill="5DD5FF"/>
          </w:tcPr>
          <w:p w14:paraId="1B221DA8" w14:textId="3F5929BD" w:rsidR="003270EA" w:rsidRPr="00B652FD" w:rsidRDefault="003270EA">
            <w:pPr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B652FD">
              <w:rPr>
                <w:rFonts w:asciiTheme="majorHAnsi" w:hAnsiTheme="majorHAnsi" w:cstheme="majorHAnsi"/>
                <w:b/>
                <w:bCs/>
                <w:lang w:val="en-GB"/>
              </w:rPr>
              <w:t>Answering calls</w:t>
            </w:r>
          </w:p>
        </w:tc>
      </w:tr>
      <w:tr w:rsidR="003270EA" w:rsidRPr="00B652FD" w14:paraId="350DE4D6" w14:textId="77777777" w:rsidTr="009F70B1">
        <w:tc>
          <w:tcPr>
            <w:tcW w:w="9350" w:type="dxa"/>
          </w:tcPr>
          <w:p w14:paraId="2AEF0899" w14:textId="2AC03F8F" w:rsidR="009F70B1" w:rsidRPr="00B652FD" w:rsidRDefault="009F70B1" w:rsidP="009F70B1">
            <w:pPr>
              <w:jc w:val="both"/>
              <w:rPr>
                <w:rFonts w:asciiTheme="majorHAnsi" w:hAnsiTheme="majorHAnsi" w:cstheme="majorHAnsi"/>
                <w:lang w:val="en-GB"/>
              </w:rPr>
            </w:pPr>
            <w:r w:rsidRPr="00B652FD">
              <w:rPr>
                <w:rFonts w:asciiTheme="majorHAnsi" w:hAnsiTheme="majorHAnsi" w:cstheme="majorHAnsi"/>
                <w:lang w:val="en-GB"/>
              </w:rPr>
              <w:t>“</w:t>
            </w:r>
            <w:r w:rsidR="003270EA" w:rsidRPr="00B652FD">
              <w:rPr>
                <w:rFonts w:asciiTheme="majorHAnsi" w:hAnsiTheme="majorHAnsi" w:cstheme="majorHAnsi"/>
                <w:lang w:val="en-GB"/>
              </w:rPr>
              <w:t xml:space="preserve">Thank you for calling </w:t>
            </w:r>
            <w:r w:rsidRPr="00B652FD">
              <w:rPr>
                <w:rFonts w:asciiTheme="majorHAnsi" w:hAnsiTheme="majorHAnsi" w:cstheme="majorHAnsi"/>
                <w:lang w:val="en-GB"/>
              </w:rPr>
              <w:t xml:space="preserve">the UN Guatemala hotline managed by the WFP. Calling this line is completely free of charge and calls are not recorded to ensure callers’ privacy.” </w:t>
            </w:r>
          </w:p>
          <w:p w14:paraId="3B8D4146" w14:textId="4A13B149" w:rsidR="00515D0D" w:rsidRPr="00B652FD" w:rsidRDefault="009F70B1" w:rsidP="009F70B1">
            <w:pPr>
              <w:jc w:val="both"/>
              <w:rPr>
                <w:rFonts w:asciiTheme="majorHAnsi" w:hAnsiTheme="majorHAnsi" w:cstheme="majorHAnsi"/>
                <w:lang w:val="en-GB"/>
              </w:rPr>
            </w:pPr>
            <w:r w:rsidRPr="00B652FD">
              <w:rPr>
                <w:rFonts w:asciiTheme="majorHAnsi" w:hAnsiTheme="majorHAnsi" w:cstheme="majorHAnsi"/>
                <w:lang w:val="en-GB"/>
              </w:rPr>
              <w:t>“</w:t>
            </w:r>
            <w:r w:rsidR="003270EA" w:rsidRPr="00B652FD">
              <w:rPr>
                <w:rFonts w:asciiTheme="majorHAnsi" w:hAnsiTheme="majorHAnsi" w:cstheme="majorHAnsi"/>
                <w:lang w:val="en-GB"/>
              </w:rPr>
              <w:t>This is ________________ speaking, how can I help you?</w:t>
            </w:r>
            <w:r w:rsidRPr="00B652FD">
              <w:rPr>
                <w:rFonts w:asciiTheme="majorHAnsi" w:hAnsiTheme="majorHAnsi" w:cstheme="majorHAnsi"/>
                <w:lang w:val="en-GB"/>
              </w:rPr>
              <w:t>”</w:t>
            </w:r>
            <w:r w:rsidR="003270EA" w:rsidRPr="00B652FD">
              <w:rPr>
                <w:rFonts w:asciiTheme="majorHAnsi" w:hAnsiTheme="majorHAnsi" w:cstheme="majorHAnsi"/>
                <w:lang w:val="en-GB"/>
              </w:rPr>
              <w:t xml:space="preserve"> </w:t>
            </w:r>
          </w:p>
        </w:tc>
      </w:tr>
      <w:tr w:rsidR="003270EA" w:rsidRPr="00B652FD" w14:paraId="26F21293" w14:textId="77777777" w:rsidTr="009F70B1">
        <w:tc>
          <w:tcPr>
            <w:tcW w:w="9350" w:type="dxa"/>
            <w:shd w:val="clear" w:color="auto" w:fill="5DD5FF"/>
          </w:tcPr>
          <w:p w14:paraId="7110A760" w14:textId="128F497F" w:rsidR="003270EA" w:rsidRPr="00B652FD" w:rsidRDefault="003270EA">
            <w:pPr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B652FD">
              <w:rPr>
                <w:rFonts w:asciiTheme="majorHAnsi" w:hAnsiTheme="majorHAnsi" w:cstheme="majorHAnsi"/>
                <w:b/>
                <w:bCs/>
                <w:lang w:val="en-GB"/>
              </w:rPr>
              <w:t>Types of calls</w:t>
            </w:r>
          </w:p>
        </w:tc>
      </w:tr>
      <w:tr w:rsidR="003270EA" w:rsidRPr="00B652FD" w14:paraId="5BB60FE3" w14:textId="77777777" w:rsidTr="009F70B1">
        <w:tc>
          <w:tcPr>
            <w:tcW w:w="9350" w:type="dxa"/>
          </w:tcPr>
          <w:p w14:paraId="37D92478" w14:textId="228B9375" w:rsidR="00F77188" w:rsidRDefault="009F70B1" w:rsidP="009F70B1">
            <w:pPr>
              <w:jc w:val="both"/>
              <w:rPr>
                <w:rFonts w:asciiTheme="majorHAnsi" w:hAnsiTheme="majorHAnsi" w:cstheme="majorHAnsi"/>
                <w:lang w:val="en-GB"/>
              </w:rPr>
            </w:pPr>
            <w:r w:rsidRPr="00B652FD">
              <w:rPr>
                <w:rFonts w:asciiTheme="majorHAnsi" w:hAnsiTheme="majorHAnsi" w:cstheme="majorHAnsi"/>
                <w:lang w:val="en-GB"/>
              </w:rPr>
              <w:t>The calls received can belong to any of the following categories:</w:t>
            </w:r>
          </w:p>
          <w:p w14:paraId="0CBE277C" w14:textId="39975A31" w:rsidR="00F77188" w:rsidRDefault="00F77188" w:rsidP="009F70B1">
            <w:pPr>
              <w:jc w:val="both"/>
              <w:rPr>
                <w:rFonts w:asciiTheme="majorHAnsi" w:hAnsiTheme="majorHAnsi" w:cstheme="majorHAnsi"/>
                <w:lang w:val="en-GB"/>
              </w:rPr>
            </w:pPr>
            <w:r w:rsidRPr="00515D0D">
              <w:rPr>
                <w:rFonts w:asciiTheme="majorHAnsi" w:hAnsiTheme="majorHAnsi" w:cstheme="majorHAnsi"/>
                <w:noProof/>
                <w:lang w:val="en-GB"/>
              </w:rPr>
              <w:drawing>
                <wp:inline distT="0" distB="0" distL="0" distR="0" wp14:anchorId="35D851FE" wp14:editId="1B10B938">
                  <wp:extent cx="5746750" cy="1047750"/>
                  <wp:effectExtent l="19050" t="19050" r="6350" b="57150"/>
                  <wp:docPr id="1" name="Diagrama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5" r:lo="rId6" r:qs="rId7" r:cs="rId8"/>
                    </a:graphicData>
                  </a:graphic>
                </wp:inline>
              </w:drawing>
            </w:r>
          </w:p>
          <w:p w14:paraId="2FBF5F41" w14:textId="20CC21C7" w:rsidR="003270EA" w:rsidRPr="00515D0D" w:rsidRDefault="00F77188" w:rsidP="00515D0D">
            <w:pPr>
              <w:jc w:val="both"/>
              <w:rPr>
                <w:rFonts w:asciiTheme="majorHAnsi" w:hAnsiTheme="majorHAnsi" w:cstheme="majorHAnsi"/>
                <w:color w:val="FF3399"/>
                <w:lang w:val="en-GB"/>
              </w:rPr>
            </w:pPr>
            <w:r w:rsidRPr="00515D0D">
              <w:rPr>
                <w:rFonts w:asciiTheme="majorHAnsi" w:hAnsiTheme="majorHAnsi" w:cstheme="majorHAnsi"/>
                <w:noProof/>
                <w:color w:val="FF3399"/>
                <w:lang w:val="en-GB"/>
              </w:rPr>
              <w:drawing>
                <wp:inline distT="0" distB="0" distL="0" distR="0" wp14:anchorId="1FBFB206" wp14:editId="07229BEB">
                  <wp:extent cx="5727700" cy="717550"/>
                  <wp:effectExtent l="38100" t="0" r="25400" b="6350"/>
                  <wp:docPr id="2" name="Diagrama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0" r:lo="rId11" r:qs="rId12" r:cs="rId13"/>
                    </a:graphicData>
                  </a:graphic>
                </wp:inline>
              </w:drawing>
            </w:r>
            <w:r w:rsidR="009F70B1" w:rsidRPr="00515D0D">
              <w:rPr>
                <w:rFonts w:asciiTheme="majorHAnsi" w:hAnsiTheme="majorHAnsi" w:cstheme="majorHAnsi"/>
                <w:b/>
                <w:bCs/>
                <w:color w:val="FF3399"/>
                <w:lang w:val="en-GB"/>
              </w:rPr>
              <w:t xml:space="preserve"> </w:t>
            </w:r>
          </w:p>
        </w:tc>
      </w:tr>
      <w:tr w:rsidR="003270EA" w:rsidRPr="00B652FD" w14:paraId="0D1AA35F" w14:textId="77777777" w:rsidTr="009F70B1">
        <w:tc>
          <w:tcPr>
            <w:tcW w:w="9350" w:type="dxa"/>
            <w:shd w:val="clear" w:color="auto" w:fill="5DD5FF"/>
          </w:tcPr>
          <w:p w14:paraId="728C580B" w14:textId="034829AA" w:rsidR="003270EA" w:rsidRPr="00B652FD" w:rsidRDefault="003270EA">
            <w:pPr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B652FD">
              <w:rPr>
                <w:rFonts w:asciiTheme="majorHAnsi" w:hAnsiTheme="majorHAnsi" w:cstheme="majorHAnsi"/>
                <w:b/>
                <w:bCs/>
                <w:lang w:val="en-GB"/>
              </w:rPr>
              <w:t>Actions in case of SEA related calls</w:t>
            </w:r>
          </w:p>
        </w:tc>
      </w:tr>
      <w:tr w:rsidR="003270EA" w:rsidRPr="00B652FD" w14:paraId="068DF460" w14:textId="77777777" w:rsidTr="009F70B1">
        <w:tc>
          <w:tcPr>
            <w:tcW w:w="9350" w:type="dxa"/>
          </w:tcPr>
          <w:p w14:paraId="6F84B3CD" w14:textId="702A95BA" w:rsidR="00AE0D9F" w:rsidRPr="00B652FD" w:rsidRDefault="003270EA" w:rsidP="00AE0D9F">
            <w:pPr>
              <w:jc w:val="both"/>
              <w:rPr>
                <w:rFonts w:asciiTheme="majorHAnsi" w:hAnsiTheme="majorHAnsi" w:cstheme="majorHAnsi"/>
                <w:lang w:val="en-GB"/>
              </w:rPr>
            </w:pPr>
            <w:r w:rsidRPr="00B652FD">
              <w:rPr>
                <w:rFonts w:asciiTheme="majorHAnsi" w:hAnsiTheme="majorHAnsi" w:cstheme="majorHAnsi"/>
                <w:lang w:val="en-GB"/>
              </w:rPr>
              <w:t xml:space="preserve">If </w:t>
            </w:r>
            <w:r w:rsidR="00373170" w:rsidRPr="00B652FD">
              <w:rPr>
                <w:rFonts w:asciiTheme="majorHAnsi" w:hAnsiTheme="majorHAnsi" w:cstheme="majorHAnsi"/>
                <w:lang w:val="en-GB"/>
              </w:rPr>
              <w:t xml:space="preserve">the call involves a </w:t>
            </w:r>
            <w:r w:rsidRPr="00B652FD">
              <w:rPr>
                <w:rFonts w:asciiTheme="majorHAnsi" w:hAnsiTheme="majorHAnsi" w:cstheme="majorHAnsi"/>
                <w:lang w:val="en-GB"/>
              </w:rPr>
              <w:t xml:space="preserve">new issue that </w:t>
            </w:r>
            <w:r w:rsidR="00373170" w:rsidRPr="00B652FD">
              <w:rPr>
                <w:rFonts w:asciiTheme="majorHAnsi" w:hAnsiTheme="majorHAnsi" w:cstheme="majorHAnsi"/>
                <w:lang w:val="en-GB"/>
              </w:rPr>
              <w:t>appears to be a complaint or breach of UN principles of conduct</w:t>
            </w:r>
            <w:r w:rsidR="00AE0D9F">
              <w:rPr>
                <w:rFonts w:asciiTheme="majorHAnsi" w:hAnsiTheme="majorHAnsi" w:cstheme="majorHAnsi"/>
                <w:lang w:val="en-GB"/>
              </w:rPr>
              <w:t xml:space="preserve"> </w:t>
            </w:r>
            <w:r w:rsidR="00AE0D9F" w:rsidRPr="00AE0D9F">
              <w:rPr>
                <w:rFonts w:asciiTheme="majorHAnsi" w:hAnsiTheme="majorHAnsi" w:cstheme="majorHAnsi"/>
                <w:b/>
                <w:bCs/>
                <w:lang w:val="en-GB"/>
              </w:rPr>
              <w:t>which could constitute SEA</w:t>
            </w:r>
            <w:r w:rsidR="00AE0D9F" w:rsidRPr="00B652FD">
              <w:rPr>
                <w:rFonts w:asciiTheme="majorHAnsi" w:hAnsiTheme="majorHAnsi" w:cstheme="majorHAnsi"/>
                <w:lang w:val="en-GB"/>
              </w:rPr>
              <w:t xml:space="preserve">, follow the steps below: </w:t>
            </w:r>
          </w:p>
          <w:p w14:paraId="50F2BD6D" w14:textId="77777777" w:rsidR="00AE0D9F" w:rsidRPr="00B652FD" w:rsidRDefault="00AE0D9F" w:rsidP="00AE0D9F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Theme="majorHAnsi" w:hAnsiTheme="majorHAnsi" w:cstheme="majorHAnsi"/>
                <w:lang w:val="en-GB"/>
              </w:rPr>
            </w:pPr>
            <w:r w:rsidRPr="00B652FD">
              <w:rPr>
                <w:rFonts w:asciiTheme="majorHAnsi" w:hAnsiTheme="majorHAnsi" w:cstheme="majorHAnsi"/>
                <w:lang w:val="en-GB"/>
              </w:rPr>
              <w:t>Thank the caller for their call.</w:t>
            </w:r>
          </w:p>
          <w:p w14:paraId="0B59E57A" w14:textId="77777777" w:rsidR="00AE0D9F" w:rsidRPr="00B652FD" w:rsidRDefault="00AE0D9F" w:rsidP="00AE0D9F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Theme="majorHAnsi" w:hAnsiTheme="majorHAnsi" w:cstheme="majorHAnsi"/>
                <w:lang w:val="en-GB"/>
              </w:rPr>
            </w:pPr>
            <w:r w:rsidRPr="00B652FD">
              <w:rPr>
                <w:rFonts w:asciiTheme="majorHAnsi" w:hAnsiTheme="majorHAnsi" w:cstheme="majorHAnsi"/>
                <w:lang w:val="en-GB"/>
              </w:rPr>
              <w:t>Ask if they are calling from their number and if we can call them back on it? If not, ask for a contact number.</w:t>
            </w:r>
          </w:p>
          <w:p w14:paraId="7140F476" w14:textId="63EF3505" w:rsidR="00AE0D9F" w:rsidRDefault="00AE0D9F" w:rsidP="00AE0D9F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Theme="majorHAnsi" w:hAnsiTheme="majorHAnsi" w:cstheme="majorHAnsi"/>
                <w:lang w:val="en-GB"/>
              </w:rPr>
            </w:pPr>
            <w:r w:rsidRPr="00B652FD">
              <w:rPr>
                <w:rFonts w:asciiTheme="majorHAnsi" w:hAnsiTheme="majorHAnsi" w:cstheme="majorHAnsi"/>
                <w:lang w:val="en-GB"/>
              </w:rPr>
              <w:t xml:space="preserve">Will you allow me to transfer your call to my </w:t>
            </w:r>
            <w:commentRangeStart w:id="0"/>
            <w:r w:rsidRPr="00B652FD">
              <w:rPr>
                <w:rFonts w:asciiTheme="majorHAnsi" w:hAnsiTheme="majorHAnsi" w:cstheme="majorHAnsi"/>
                <w:lang w:val="en-GB"/>
              </w:rPr>
              <w:t>colleague</w:t>
            </w:r>
            <w:commentRangeEnd w:id="0"/>
            <w:r w:rsidR="009A0FEF">
              <w:rPr>
                <w:rStyle w:val="Refdecomentario"/>
              </w:rPr>
              <w:commentReference w:id="0"/>
            </w:r>
            <w:r w:rsidRPr="00B652FD">
              <w:rPr>
                <w:rFonts w:asciiTheme="majorHAnsi" w:hAnsiTheme="majorHAnsi" w:cstheme="majorHAnsi"/>
                <w:lang w:val="en-GB"/>
              </w:rPr>
              <w:t xml:space="preserve"> ________________, who has specialised training and can provide you with information and receive your complaint?</w:t>
            </w:r>
          </w:p>
          <w:p w14:paraId="6AD1FF38" w14:textId="6D9CC151" w:rsidR="00AE0D9F" w:rsidRDefault="00134DE3" w:rsidP="00AE0D9F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The</w:t>
            </w:r>
            <w:r w:rsidR="00AE0D9F">
              <w:rPr>
                <w:rFonts w:asciiTheme="majorHAnsi" w:hAnsiTheme="majorHAnsi" w:cstheme="majorHAnsi"/>
                <w:lang w:val="en-GB"/>
              </w:rPr>
              <w:t xml:space="preserve"> UN respects confidentiality and </w:t>
            </w:r>
            <w:r>
              <w:rPr>
                <w:rFonts w:asciiTheme="majorHAnsi" w:hAnsiTheme="majorHAnsi" w:cstheme="majorHAnsi"/>
                <w:lang w:val="en-GB"/>
              </w:rPr>
              <w:t>does not share personal information</w:t>
            </w:r>
            <w:r w:rsidR="009A0FEF">
              <w:rPr>
                <w:rFonts w:asciiTheme="majorHAnsi" w:hAnsiTheme="majorHAnsi" w:cstheme="majorHAnsi"/>
                <w:lang w:val="en-GB"/>
              </w:rPr>
              <w:t xml:space="preserve"> with any internal or external party</w:t>
            </w:r>
            <w:r>
              <w:rPr>
                <w:rFonts w:asciiTheme="majorHAnsi" w:hAnsiTheme="majorHAnsi" w:cstheme="majorHAnsi"/>
                <w:lang w:val="en-GB"/>
              </w:rPr>
              <w:t xml:space="preserve">. My colleague </w:t>
            </w:r>
            <w:r w:rsidRPr="00B652FD">
              <w:rPr>
                <w:rFonts w:asciiTheme="majorHAnsi" w:hAnsiTheme="majorHAnsi" w:cstheme="majorHAnsi"/>
                <w:lang w:val="en-GB"/>
              </w:rPr>
              <w:t>________________</w:t>
            </w:r>
            <w:r>
              <w:rPr>
                <w:rFonts w:asciiTheme="majorHAnsi" w:hAnsiTheme="majorHAnsi" w:cstheme="majorHAnsi"/>
                <w:lang w:val="en-GB"/>
              </w:rPr>
              <w:t xml:space="preserve"> will answer all your questions about the process. </w:t>
            </w:r>
          </w:p>
          <w:p w14:paraId="51FA3346" w14:textId="557A0D82" w:rsidR="003270EA" w:rsidRPr="00134DE3" w:rsidRDefault="00AE0D9F" w:rsidP="00134DE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Theme="majorHAnsi" w:hAnsiTheme="majorHAnsi" w:cstheme="majorHAnsi"/>
                <w:lang w:val="en-GB"/>
              </w:rPr>
            </w:pPr>
            <w:r w:rsidRPr="00AE0D9F">
              <w:rPr>
                <w:rFonts w:asciiTheme="majorHAnsi" w:hAnsiTheme="majorHAnsi" w:cstheme="majorHAnsi"/>
                <w:lang w:val="en-GB"/>
              </w:rPr>
              <w:t>Thank you, please hold. If the call should drop, we will call you back on the number you have provided.</w:t>
            </w:r>
            <w:r w:rsidR="00B652FD" w:rsidRPr="00134DE3">
              <w:rPr>
                <w:rFonts w:asciiTheme="majorHAnsi" w:hAnsiTheme="majorHAnsi" w:cstheme="majorHAnsi"/>
                <w:lang w:val="en-GB"/>
              </w:rPr>
              <w:t xml:space="preserve"> </w:t>
            </w:r>
          </w:p>
        </w:tc>
      </w:tr>
      <w:tr w:rsidR="003270EA" w:rsidRPr="00B652FD" w14:paraId="06905BDE" w14:textId="77777777" w:rsidTr="009F70B1">
        <w:tc>
          <w:tcPr>
            <w:tcW w:w="9350" w:type="dxa"/>
            <w:shd w:val="clear" w:color="auto" w:fill="5DD5FF"/>
          </w:tcPr>
          <w:p w14:paraId="4166246E" w14:textId="19E78530" w:rsidR="003270EA" w:rsidRPr="00B652FD" w:rsidRDefault="00AE0D9F">
            <w:pPr>
              <w:rPr>
                <w:rFonts w:asciiTheme="majorHAnsi" w:hAnsiTheme="majorHAnsi" w:cstheme="majorHAnsi"/>
                <w:b/>
                <w:bCs/>
                <w:lang w:val="en-GB"/>
              </w:rPr>
            </w:pPr>
            <w:r>
              <w:rPr>
                <w:rFonts w:asciiTheme="majorHAnsi" w:hAnsiTheme="majorHAnsi" w:cstheme="majorHAnsi"/>
                <w:b/>
                <w:bCs/>
                <w:lang w:val="en-GB"/>
              </w:rPr>
              <w:t xml:space="preserve">Elements that allow the identification of </w:t>
            </w:r>
            <w:r w:rsidR="009F70B1" w:rsidRPr="00B652FD">
              <w:rPr>
                <w:rFonts w:asciiTheme="majorHAnsi" w:hAnsiTheme="majorHAnsi" w:cstheme="majorHAnsi"/>
                <w:b/>
                <w:bCs/>
                <w:lang w:val="en-GB"/>
              </w:rPr>
              <w:t>SEA related calls</w:t>
            </w:r>
          </w:p>
        </w:tc>
      </w:tr>
      <w:tr w:rsidR="003270EA" w:rsidRPr="00B652FD" w14:paraId="4C9282B0" w14:textId="77777777" w:rsidTr="009F70B1">
        <w:tc>
          <w:tcPr>
            <w:tcW w:w="9350" w:type="dxa"/>
          </w:tcPr>
          <w:p w14:paraId="51A22962" w14:textId="31B11FBC" w:rsidR="00AE0D9F" w:rsidRPr="00B652FD" w:rsidRDefault="00AE0D9F" w:rsidP="00AE0D9F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Theme="majorHAnsi" w:hAnsiTheme="majorHAnsi" w:cstheme="majorHAnsi"/>
                <w:lang w:val="en-GB"/>
              </w:rPr>
            </w:pPr>
            <w:r w:rsidRPr="00B652FD">
              <w:rPr>
                <w:rFonts w:asciiTheme="majorHAnsi" w:hAnsiTheme="majorHAnsi" w:cstheme="majorHAnsi"/>
                <w:b/>
                <w:bCs/>
                <w:lang w:val="en-GB"/>
              </w:rPr>
              <w:t xml:space="preserve">Sexual exploitation. </w:t>
            </w:r>
            <w:r w:rsidRPr="00B652FD">
              <w:rPr>
                <w:rFonts w:asciiTheme="majorHAnsi" w:hAnsiTheme="majorHAnsi" w:cstheme="majorHAnsi"/>
                <w:lang w:val="en-GB"/>
              </w:rPr>
              <w:t>Any actual or attempted abuse of position of vulnerability, differential power</w:t>
            </w:r>
            <w:r w:rsidR="009A0FEF">
              <w:rPr>
                <w:rFonts w:asciiTheme="majorHAnsi" w:hAnsiTheme="majorHAnsi" w:cstheme="majorHAnsi"/>
                <w:lang w:val="en-GB"/>
              </w:rPr>
              <w:t>,</w:t>
            </w:r>
            <w:r w:rsidRPr="00B652FD">
              <w:rPr>
                <w:rFonts w:asciiTheme="majorHAnsi" w:hAnsiTheme="majorHAnsi" w:cstheme="majorHAnsi"/>
                <w:lang w:val="en-GB"/>
              </w:rPr>
              <w:t xml:space="preserve"> or trust, for sexual purposes, including, but not limited to, profiting monetarily, </w:t>
            </w:r>
            <w:proofErr w:type="gramStart"/>
            <w:r w:rsidRPr="00B652FD">
              <w:rPr>
                <w:rFonts w:asciiTheme="majorHAnsi" w:hAnsiTheme="majorHAnsi" w:cstheme="majorHAnsi"/>
                <w:lang w:val="en-GB"/>
              </w:rPr>
              <w:t>socially</w:t>
            </w:r>
            <w:proofErr w:type="gramEnd"/>
            <w:r w:rsidRPr="00B652FD">
              <w:rPr>
                <w:rFonts w:asciiTheme="majorHAnsi" w:hAnsiTheme="majorHAnsi" w:cstheme="majorHAnsi"/>
                <w:lang w:val="en-GB"/>
              </w:rPr>
              <w:t xml:space="preserve"> or politically from the sexual exploitation of another. This term includes acts such as “transactional sex”, “solicitation of transactional sex” and “exploitative relationship”.</w:t>
            </w:r>
          </w:p>
          <w:p w14:paraId="49DA08DA" w14:textId="3DAF6EB4" w:rsidR="009F70B1" w:rsidRPr="00AE0D9F" w:rsidRDefault="00AE0D9F" w:rsidP="00AE0D9F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Theme="majorHAnsi" w:hAnsiTheme="majorHAnsi" w:cstheme="majorHAnsi"/>
                <w:lang w:val="en-GB"/>
              </w:rPr>
            </w:pPr>
            <w:r w:rsidRPr="00B652FD">
              <w:rPr>
                <w:rFonts w:asciiTheme="majorHAnsi" w:hAnsiTheme="majorHAnsi" w:cstheme="majorHAnsi"/>
                <w:b/>
                <w:bCs/>
                <w:lang w:val="en-GB"/>
              </w:rPr>
              <w:t>Sexual abuse.</w:t>
            </w:r>
            <w:r w:rsidRPr="00B652FD">
              <w:rPr>
                <w:rFonts w:asciiTheme="majorHAnsi" w:hAnsiTheme="majorHAnsi" w:cstheme="majorHAnsi"/>
                <w:lang w:val="en-GB"/>
              </w:rPr>
              <w:t xml:space="preserve"> Actual or threatened physical intrusion of a sexual nature, whether by force or under unequal or coercive conditions. This term includes “rape” and “sexual assault”. All sexual activity with a child is considered sexual abuse.</w:t>
            </w:r>
          </w:p>
        </w:tc>
      </w:tr>
    </w:tbl>
    <w:p w14:paraId="2A3ACAC8" w14:textId="77777777" w:rsidR="003270EA" w:rsidRPr="00B652FD" w:rsidRDefault="003270EA">
      <w:pPr>
        <w:rPr>
          <w:lang w:val="en-GB"/>
        </w:rPr>
      </w:pPr>
    </w:p>
    <w:sectPr w:rsidR="003270EA" w:rsidRPr="00B65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Peride Blind" w:date="2021-11-07T16:52:00Z" w:initials="PB">
    <w:p w14:paraId="1F80C6B8" w14:textId="0EF97F55" w:rsidR="009A0FEF" w:rsidRDefault="009A0FEF">
      <w:pPr>
        <w:pStyle w:val="Textocomentario"/>
      </w:pPr>
      <w:r>
        <w:rPr>
          <w:rStyle w:val="Refdecomentario"/>
        </w:rPr>
        <w:annotationRef/>
      </w:r>
      <w:r>
        <w:t>We will check with the HQ about whether the Victims’ Rights Focal Point is the most adequate colleague to receive the call.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F80C6B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3282B8" w16cex:dateUtc="2021-11-07T22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F80C6B8" w16cid:durableId="253282B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A41B18"/>
    <w:multiLevelType w:val="hybridMultilevel"/>
    <w:tmpl w:val="39667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A20E7"/>
    <w:multiLevelType w:val="hybridMultilevel"/>
    <w:tmpl w:val="F6F83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F4772"/>
    <w:multiLevelType w:val="hybridMultilevel"/>
    <w:tmpl w:val="3B64F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02EDB"/>
    <w:multiLevelType w:val="hybridMultilevel"/>
    <w:tmpl w:val="71CAF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4F1F58"/>
    <w:multiLevelType w:val="hybridMultilevel"/>
    <w:tmpl w:val="4CF81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eride Blind">
    <w15:presenceInfo w15:providerId="AD" w15:userId="S::blind@un.org::93e8df49-03f4-439f-9011-755f8e8db1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BEC"/>
    <w:rsid w:val="00134DE3"/>
    <w:rsid w:val="002C1A63"/>
    <w:rsid w:val="002E6CE8"/>
    <w:rsid w:val="003270EA"/>
    <w:rsid w:val="00373170"/>
    <w:rsid w:val="00446740"/>
    <w:rsid w:val="00515D0D"/>
    <w:rsid w:val="005163C6"/>
    <w:rsid w:val="005C21FB"/>
    <w:rsid w:val="009219E5"/>
    <w:rsid w:val="00922BEC"/>
    <w:rsid w:val="00942DEA"/>
    <w:rsid w:val="009A0FEF"/>
    <w:rsid w:val="009F70B1"/>
    <w:rsid w:val="00A72F89"/>
    <w:rsid w:val="00AE0D9F"/>
    <w:rsid w:val="00B652FD"/>
    <w:rsid w:val="00BC31CA"/>
    <w:rsid w:val="00C54B5F"/>
    <w:rsid w:val="00E65A14"/>
    <w:rsid w:val="00EE1CFA"/>
    <w:rsid w:val="00F7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49AD1"/>
  <w15:chartTrackingRefBased/>
  <w15:docId w15:val="{4C26478B-8F2F-4839-AC2B-1B527398E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6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270E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A0F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A0FE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A0FE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A0F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A0F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comments" Target="comments.xml"/><Relationship Id="rId10" Type="http://schemas.openxmlformats.org/officeDocument/2006/relationships/diagramData" Target="diagrams/data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18C5D6B-9E9C-486E-9AFD-B826F57A516B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D3ECF213-E29F-4064-8EEA-92681D1A0C47}">
      <dgm:prSet phldrT="[Texto]" custT="1"/>
      <dgm:spPr>
        <a:solidFill>
          <a:srgbClr val="0097CC"/>
        </a:solidFill>
      </dgm:spPr>
      <dgm:t>
        <a:bodyPr/>
        <a:lstStyle/>
        <a:p>
          <a:pPr algn="l"/>
          <a:r>
            <a:rPr lang="en-GB" sz="1100">
              <a:latin typeface="+mj-lt"/>
            </a:rPr>
            <a:t>1. Follow up on existing issue/complaint</a:t>
          </a:r>
        </a:p>
        <a:p>
          <a:pPr algn="l"/>
          <a:r>
            <a:rPr lang="en-GB" sz="1100">
              <a:latin typeface="+mj-lt"/>
            </a:rPr>
            <a:t>2. Information request</a:t>
          </a:r>
        </a:p>
        <a:p>
          <a:pPr algn="l"/>
          <a:r>
            <a:rPr lang="en-GB" sz="1100">
              <a:latin typeface="+mj-lt"/>
            </a:rPr>
            <a:t>3. Request for assistance </a:t>
          </a:r>
        </a:p>
        <a:p>
          <a:pPr algn="l"/>
          <a:r>
            <a:rPr lang="en-GB" sz="1100">
              <a:latin typeface="+mj-lt"/>
            </a:rPr>
            <a:t>4. Positive or negative feedback and/or suggestions  </a:t>
          </a:r>
          <a:endParaRPr lang="en-US" sz="1100">
            <a:latin typeface="+mj-lt"/>
          </a:endParaRPr>
        </a:p>
      </dgm:t>
    </dgm:pt>
    <dgm:pt modelId="{83486FA0-AE3C-4BD4-A2E1-F2CDBE0B100E}" type="parTrans" cxnId="{313F2804-A6E9-47D0-9310-FCB689EBAC20}">
      <dgm:prSet/>
      <dgm:spPr/>
      <dgm:t>
        <a:bodyPr/>
        <a:lstStyle/>
        <a:p>
          <a:endParaRPr lang="en-US"/>
        </a:p>
      </dgm:t>
    </dgm:pt>
    <dgm:pt modelId="{49BE7836-C497-40CB-B063-4A3011610782}" type="sibTrans" cxnId="{313F2804-A6E9-47D0-9310-FCB689EBAC20}">
      <dgm:prSet/>
      <dgm:spPr>
        <a:solidFill>
          <a:srgbClr val="5DD5FF"/>
        </a:solidFill>
      </dgm:spPr>
      <dgm:t>
        <a:bodyPr/>
        <a:lstStyle/>
        <a:p>
          <a:endParaRPr lang="en-US"/>
        </a:p>
      </dgm:t>
    </dgm:pt>
    <dgm:pt modelId="{E01C510D-1B8B-425B-8CC8-24502DD46CF1}">
      <dgm:prSet phldrT="[Texto]" custT="1"/>
      <dgm:spPr>
        <a:solidFill>
          <a:srgbClr val="0097CC"/>
        </a:solidFill>
      </dgm:spPr>
      <dgm:t>
        <a:bodyPr/>
        <a:lstStyle/>
        <a:p>
          <a:pPr algn="l">
            <a:buFont typeface="Symbol" panose="05050102010706020507" pitchFamily="18" charset="2"/>
            <a:buChar char=""/>
          </a:pPr>
          <a:r>
            <a:rPr lang="en-GB" sz="1100">
              <a:latin typeface="+mj-lt"/>
            </a:rPr>
            <a:t>Proceed according to WFP/ACNUR SOPs/guidelines.</a:t>
          </a:r>
          <a:endParaRPr lang="en-US" sz="1100">
            <a:latin typeface="+mj-lt"/>
          </a:endParaRPr>
        </a:p>
      </dgm:t>
    </dgm:pt>
    <dgm:pt modelId="{08380BC7-E658-4728-820B-D190C635B2A2}" type="parTrans" cxnId="{2017C2B8-14E8-4B7E-B8DC-83478C2B358F}">
      <dgm:prSet/>
      <dgm:spPr/>
      <dgm:t>
        <a:bodyPr/>
        <a:lstStyle/>
        <a:p>
          <a:endParaRPr lang="en-US"/>
        </a:p>
      </dgm:t>
    </dgm:pt>
    <dgm:pt modelId="{7C95F94F-29B3-4ABB-86BE-EA987EA10291}" type="sibTrans" cxnId="{2017C2B8-14E8-4B7E-B8DC-83478C2B358F}">
      <dgm:prSet/>
      <dgm:spPr/>
      <dgm:t>
        <a:bodyPr/>
        <a:lstStyle/>
        <a:p>
          <a:endParaRPr lang="en-US"/>
        </a:p>
      </dgm:t>
    </dgm:pt>
    <dgm:pt modelId="{DB842B70-8AB7-41C0-8976-2EC3185E158D}" type="pres">
      <dgm:prSet presAssocID="{118C5D6B-9E9C-486E-9AFD-B826F57A516B}" presName="Name0" presStyleCnt="0">
        <dgm:presLayoutVars>
          <dgm:dir/>
          <dgm:resizeHandles val="exact"/>
        </dgm:presLayoutVars>
      </dgm:prSet>
      <dgm:spPr/>
    </dgm:pt>
    <dgm:pt modelId="{68A5C9CE-AB58-4AB0-AB74-96D1BA469C93}" type="pres">
      <dgm:prSet presAssocID="{D3ECF213-E29F-4064-8EEA-92681D1A0C47}" presName="node" presStyleLbl="node1" presStyleIdx="0" presStyleCnt="2">
        <dgm:presLayoutVars>
          <dgm:bulletEnabled val="1"/>
        </dgm:presLayoutVars>
      </dgm:prSet>
      <dgm:spPr/>
    </dgm:pt>
    <dgm:pt modelId="{C438E262-E674-4EE5-A100-2D14E031BFBC}" type="pres">
      <dgm:prSet presAssocID="{49BE7836-C497-40CB-B063-4A3011610782}" presName="sibTrans" presStyleLbl="sibTrans2D1" presStyleIdx="0" presStyleCnt="1"/>
      <dgm:spPr/>
    </dgm:pt>
    <dgm:pt modelId="{E8E24D78-CFF0-47F7-BCE2-3E5DA37E2893}" type="pres">
      <dgm:prSet presAssocID="{49BE7836-C497-40CB-B063-4A3011610782}" presName="connectorText" presStyleLbl="sibTrans2D1" presStyleIdx="0" presStyleCnt="1"/>
      <dgm:spPr/>
    </dgm:pt>
    <dgm:pt modelId="{A105B81B-2D6E-4CBC-AE52-C53C333A5CCA}" type="pres">
      <dgm:prSet presAssocID="{E01C510D-1B8B-425B-8CC8-24502DD46CF1}" presName="node" presStyleLbl="node1" presStyleIdx="1" presStyleCnt="2">
        <dgm:presLayoutVars>
          <dgm:bulletEnabled val="1"/>
        </dgm:presLayoutVars>
      </dgm:prSet>
      <dgm:spPr/>
    </dgm:pt>
  </dgm:ptLst>
  <dgm:cxnLst>
    <dgm:cxn modelId="{313F2804-A6E9-47D0-9310-FCB689EBAC20}" srcId="{118C5D6B-9E9C-486E-9AFD-B826F57A516B}" destId="{D3ECF213-E29F-4064-8EEA-92681D1A0C47}" srcOrd="0" destOrd="0" parTransId="{83486FA0-AE3C-4BD4-A2E1-F2CDBE0B100E}" sibTransId="{49BE7836-C497-40CB-B063-4A3011610782}"/>
    <dgm:cxn modelId="{F42F8C6A-21DC-44C4-9EE9-E5F44349C3FF}" type="presOf" srcId="{D3ECF213-E29F-4064-8EEA-92681D1A0C47}" destId="{68A5C9CE-AB58-4AB0-AB74-96D1BA469C93}" srcOrd="0" destOrd="0" presId="urn:microsoft.com/office/officeart/2005/8/layout/process1"/>
    <dgm:cxn modelId="{6DD82580-92C4-467A-B7A7-448BD0AEEDEF}" type="presOf" srcId="{E01C510D-1B8B-425B-8CC8-24502DD46CF1}" destId="{A105B81B-2D6E-4CBC-AE52-C53C333A5CCA}" srcOrd="0" destOrd="0" presId="urn:microsoft.com/office/officeart/2005/8/layout/process1"/>
    <dgm:cxn modelId="{2DD0028A-B0AD-4AFE-8737-2BD457A0A804}" type="presOf" srcId="{49BE7836-C497-40CB-B063-4A3011610782}" destId="{E8E24D78-CFF0-47F7-BCE2-3E5DA37E2893}" srcOrd="1" destOrd="0" presId="urn:microsoft.com/office/officeart/2005/8/layout/process1"/>
    <dgm:cxn modelId="{73DC3CA6-64CC-42C3-A650-AA8514EDFF1D}" type="presOf" srcId="{118C5D6B-9E9C-486E-9AFD-B826F57A516B}" destId="{DB842B70-8AB7-41C0-8976-2EC3185E158D}" srcOrd="0" destOrd="0" presId="urn:microsoft.com/office/officeart/2005/8/layout/process1"/>
    <dgm:cxn modelId="{2017C2B8-14E8-4B7E-B8DC-83478C2B358F}" srcId="{118C5D6B-9E9C-486E-9AFD-B826F57A516B}" destId="{E01C510D-1B8B-425B-8CC8-24502DD46CF1}" srcOrd="1" destOrd="0" parTransId="{08380BC7-E658-4728-820B-D190C635B2A2}" sibTransId="{7C95F94F-29B3-4ABB-86BE-EA987EA10291}"/>
    <dgm:cxn modelId="{6A04F6B9-5528-4648-B4CC-290165498603}" type="presOf" srcId="{49BE7836-C497-40CB-B063-4A3011610782}" destId="{C438E262-E674-4EE5-A100-2D14E031BFBC}" srcOrd="0" destOrd="0" presId="urn:microsoft.com/office/officeart/2005/8/layout/process1"/>
    <dgm:cxn modelId="{DA74F173-DAD6-4402-BCBA-004DB7490FB3}" type="presParOf" srcId="{DB842B70-8AB7-41C0-8976-2EC3185E158D}" destId="{68A5C9CE-AB58-4AB0-AB74-96D1BA469C93}" srcOrd="0" destOrd="0" presId="urn:microsoft.com/office/officeart/2005/8/layout/process1"/>
    <dgm:cxn modelId="{C0198CFD-3E54-4C17-BA5F-9614F6A9D354}" type="presParOf" srcId="{DB842B70-8AB7-41C0-8976-2EC3185E158D}" destId="{C438E262-E674-4EE5-A100-2D14E031BFBC}" srcOrd="1" destOrd="0" presId="urn:microsoft.com/office/officeart/2005/8/layout/process1"/>
    <dgm:cxn modelId="{373A738A-5896-4C7F-B053-5C98DBBE06F7}" type="presParOf" srcId="{C438E262-E674-4EE5-A100-2D14E031BFBC}" destId="{E8E24D78-CFF0-47F7-BCE2-3E5DA37E2893}" srcOrd="0" destOrd="0" presId="urn:microsoft.com/office/officeart/2005/8/layout/process1"/>
    <dgm:cxn modelId="{C3B60090-F29A-4B18-8155-A2D1AF528EC1}" type="presParOf" srcId="{DB842B70-8AB7-41C0-8976-2EC3185E158D}" destId="{A105B81B-2D6E-4CBC-AE52-C53C333A5CCA}" srcOrd="2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18C5D6B-9E9C-486E-9AFD-B826F57A516B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D3ECF213-E29F-4064-8EEA-92681D1A0C47}">
      <dgm:prSet phldrT="[Texto]" custT="1"/>
      <dgm:spPr>
        <a:solidFill>
          <a:srgbClr val="0097CC"/>
        </a:solidFill>
      </dgm:spPr>
      <dgm:t>
        <a:bodyPr/>
        <a:lstStyle/>
        <a:p>
          <a:pPr algn="l"/>
          <a:r>
            <a:rPr lang="en-GB" sz="1100">
              <a:latin typeface="+mj-lt"/>
            </a:rPr>
            <a:t>5. Complaint or breach of UN principles of conduct </a:t>
          </a:r>
          <a:endParaRPr lang="en-US" sz="1100">
            <a:latin typeface="+mj-lt"/>
          </a:endParaRPr>
        </a:p>
      </dgm:t>
    </dgm:pt>
    <dgm:pt modelId="{83486FA0-AE3C-4BD4-A2E1-F2CDBE0B100E}" type="parTrans" cxnId="{313F2804-A6E9-47D0-9310-FCB689EBAC20}">
      <dgm:prSet/>
      <dgm:spPr/>
      <dgm:t>
        <a:bodyPr/>
        <a:lstStyle/>
        <a:p>
          <a:endParaRPr lang="en-US"/>
        </a:p>
      </dgm:t>
    </dgm:pt>
    <dgm:pt modelId="{49BE7836-C497-40CB-B063-4A3011610782}" type="sibTrans" cxnId="{313F2804-A6E9-47D0-9310-FCB689EBAC20}">
      <dgm:prSet/>
      <dgm:spPr>
        <a:solidFill>
          <a:srgbClr val="5DD5FF"/>
        </a:solidFill>
      </dgm:spPr>
      <dgm:t>
        <a:bodyPr/>
        <a:lstStyle/>
        <a:p>
          <a:endParaRPr lang="en-US"/>
        </a:p>
      </dgm:t>
    </dgm:pt>
    <dgm:pt modelId="{E01C510D-1B8B-425B-8CC8-24502DD46CF1}">
      <dgm:prSet phldrT="[Texto]" custT="1"/>
      <dgm:spPr>
        <a:solidFill>
          <a:srgbClr val="0097CC"/>
        </a:solidFill>
      </dgm:spPr>
      <dgm:t>
        <a:bodyPr/>
        <a:lstStyle/>
        <a:p>
          <a:pPr algn="l"/>
          <a:r>
            <a:rPr lang="en-GB" sz="1100">
              <a:latin typeface="+mj-lt"/>
            </a:rPr>
            <a:t>The call </a:t>
          </a:r>
          <a:r>
            <a:rPr lang="en-GB" sz="1100" b="1">
              <a:solidFill>
                <a:schemeClr val="accent2"/>
              </a:solidFill>
              <a:latin typeface="+mj-lt"/>
            </a:rPr>
            <a:t>could be SEA related</a:t>
          </a:r>
          <a:r>
            <a:rPr lang="en-GB" sz="1100" b="1">
              <a:latin typeface="+mj-lt"/>
            </a:rPr>
            <a:t>. </a:t>
          </a:r>
          <a:r>
            <a:rPr lang="en-GB" sz="1100">
              <a:latin typeface="+mj-lt"/>
            </a:rPr>
            <a:t>Proceed as </a:t>
          </a:r>
          <a:r>
            <a:rPr lang="en-GB" sz="1100" b="1">
              <a:solidFill>
                <a:schemeClr val="accent2"/>
              </a:solidFill>
              <a:latin typeface="+mj-lt"/>
            </a:rPr>
            <a:t>outlined below</a:t>
          </a:r>
          <a:r>
            <a:rPr lang="en-GB" sz="1100" b="1">
              <a:latin typeface="+mj-lt"/>
            </a:rPr>
            <a:t>. </a:t>
          </a:r>
          <a:endParaRPr lang="en-US" sz="1100">
            <a:latin typeface="+mj-lt"/>
          </a:endParaRPr>
        </a:p>
      </dgm:t>
    </dgm:pt>
    <dgm:pt modelId="{08380BC7-E658-4728-820B-D190C635B2A2}" type="parTrans" cxnId="{2017C2B8-14E8-4B7E-B8DC-83478C2B358F}">
      <dgm:prSet/>
      <dgm:spPr/>
      <dgm:t>
        <a:bodyPr/>
        <a:lstStyle/>
        <a:p>
          <a:endParaRPr lang="en-US"/>
        </a:p>
      </dgm:t>
    </dgm:pt>
    <dgm:pt modelId="{7C95F94F-29B3-4ABB-86BE-EA987EA10291}" type="sibTrans" cxnId="{2017C2B8-14E8-4B7E-B8DC-83478C2B358F}">
      <dgm:prSet/>
      <dgm:spPr/>
      <dgm:t>
        <a:bodyPr/>
        <a:lstStyle/>
        <a:p>
          <a:endParaRPr lang="en-US"/>
        </a:p>
      </dgm:t>
    </dgm:pt>
    <dgm:pt modelId="{DB842B70-8AB7-41C0-8976-2EC3185E158D}" type="pres">
      <dgm:prSet presAssocID="{118C5D6B-9E9C-486E-9AFD-B826F57A516B}" presName="Name0" presStyleCnt="0">
        <dgm:presLayoutVars>
          <dgm:dir/>
          <dgm:resizeHandles val="exact"/>
        </dgm:presLayoutVars>
      </dgm:prSet>
      <dgm:spPr/>
    </dgm:pt>
    <dgm:pt modelId="{68A5C9CE-AB58-4AB0-AB74-96D1BA469C93}" type="pres">
      <dgm:prSet presAssocID="{D3ECF213-E29F-4064-8EEA-92681D1A0C47}" presName="node" presStyleLbl="node1" presStyleIdx="0" presStyleCnt="2" custScaleY="47241">
        <dgm:presLayoutVars>
          <dgm:bulletEnabled val="1"/>
        </dgm:presLayoutVars>
      </dgm:prSet>
      <dgm:spPr/>
    </dgm:pt>
    <dgm:pt modelId="{C438E262-E674-4EE5-A100-2D14E031BFBC}" type="pres">
      <dgm:prSet presAssocID="{49BE7836-C497-40CB-B063-4A3011610782}" presName="sibTrans" presStyleLbl="sibTrans2D1" presStyleIdx="0" presStyleCnt="1"/>
      <dgm:spPr/>
    </dgm:pt>
    <dgm:pt modelId="{E8E24D78-CFF0-47F7-BCE2-3E5DA37E2893}" type="pres">
      <dgm:prSet presAssocID="{49BE7836-C497-40CB-B063-4A3011610782}" presName="connectorText" presStyleLbl="sibTrans2D1" presStyleIdx="0" presStyleCnt="1"/>
      <dgm:spPr/>
    </dgm:pt>
    <dgm:pt modelId="{A105B81B-2D6E-4CBC-AE52-C53C333A5CCA}" type="pres">
      <dgm:prSet presAssocID="{E01C510D-1B8B-425B-8CC8-24502DD46CF1}" presName="node" presStyleLbl="node1" presStyleIdx="1" presStyleCnt="2" custScaleY="47241">
        <dgm:presLayoutVars>
          <dgm:bulletEnabled val="1"/>
        </dgm:presLayoutVars>
      </dgm:prSet>
      <dgm:spPr/>
    </dgm:pt>
  </dgm:ptLst>
  <dgm:cxnLst>
    <dgm:cxn modelId="{313F2804-A6E9-47D0-9310-FCB689EBAC20}" srcId="{118C5D6B-9E9C-486E-9AFD-B826F57A516B}" destId="{D3ECF213-E29F-4064-8EEA-92681D1A0C47}" srcOrd="0" destOrd="0" parTransId="{83486FA0-AE3C-4BD4-A2E1-F2CDBE0B100E}" sibTransId="{49BE7836-C497-40CB-B063-4A3011610782}"/>
    <dgm:cxn modelId="{F42F8C6A-21DC-44C4-9EE9-E5F44349C3FF}" type="presOf" srcId="{D3ECF213-E29F-4064-8EEA-92681D1A0C47}" destId="{68A5C9CE-AB58-4AB0-AB74-96D1BA469C93}" srcOrd="0" destOrd="0" presId="urn:microsoft.com/office/officeart/2005/8/layout/process1"/>
    <dgm:cxn modelId="{6DD82580-92C4-467A-B7A7-448BD0AEEDEF}" type="presOf" srcId="{E01C510D-1B8B-425B-8CC8-24502DD46CF1}" destId="{A105B81B-2D6E-4CBC-AE52-C53C333A5CCA}" srcOrd="0" destOrd="0" presId="urn:microsoft.com/office/officeart/2005/8/layout/process1"/>
    <dgm:cxn modelId="{2DD0028A-B0AD-4AFE-8737-2BD457A0A804}" type="presOf" srcId="{49BE7836-C497-40CB-B063-4A3011610782}" destId="{E8E24D78-CFF0-47F7-BCE2-3E5DA37E2893}" srcOrd="1" destOrd="0" presId="urn:microsoft.com/office/officeart/2005/8/layout/process1"/>
    <dgm:cxn modelId="{73DC3CA6-64CC-42C3-A650-AA8514EDFF1D}" type="presOf" srcId="{118C5D6B-9E9C-486E-9AFD-B826F57A516B}" destId="{DB842B70-8AB7-41C0-8976-2EC3185E158D}" srcOrd="0" destOrd="0" presId="urn:microsoft.com/office/officeart/2005/8/layout/process1"/>
    <dgm:cxn modelId="{2017C2B8-14E8-4B7E-B8DC-83478C2B358F}" srcId="{118C5D6B-9E9C-486E-9AFD-B826F57A516B}" destId="{E01C510D-1B8B-425B-8CC8-24502DD46CF1}" srcOrd="1" destOrd="0" parTransId="{08380BC7-E658-4728-820B-D190C635B2A2}" sibTransId="{7C95F94F-29B3-4ABB-86BE-EA987EA10291}"/>
    <dgm:cxn modelId="{6A04F6B9-5528-4648-B4CC-290165498603}" type="presOf" srcId="{49BE7836-C497-40CB-B063-4A3011610782}" destId="{C438E262-E674-4EE5-A100-2D14E031BFBC}" srcOrd="0" destOrd="0" presId="urn:microsoft.com/office/officeart/2005/8/layout/process1"/>
    <dgm:cxn modelId="{DA74F173-DAD6-4402-BCBA-004DB7490FB3}" type="presParOf" srcId="{DB842B70-8AB7-41C0-8976-2EC3185E158D}" destId="{68A5C9CE-AB58-4AB0-AB74-96D1BA469C93}" srcOrd="0" destOrd="0" presId="urn:microsoft.com/office/officeart/2005/8/layout/process1"/>
    <dgm:cxn modelId="{C0198CFD-3E54-4C17-BA5F-9614F6A9D354}" type="presParOf" srcId="{DB842B70-8AB7-41C0-8976-2EC3185E158D}" destId="{C438E262-E674-4EE5-A100-2D14E031BFBC}" srcOrd="1" destOrd="0" presId="urn:microsoft.com/office/officeart/2005/8/layout/process1"/>
    <dgm:cxn modelId="{373A738A-5896-4C7F-B053-5C98DBBE06F7}" type="presParOf" srcId="{C438E262-E674-4EE5-A100-2D14E031BFBC}" destId="{E8E24D78-CFF0-47F7-BCE2-3E5DA37E2893}" srcOrd="0" destOrd="0" presId="urn:microsoft.com/office/officeart/2005/8/layout/process1"/>
    <dgm:cxn modelId="{C3B60090-F29A-4B18-8155-A2D1AF528EC1}" type="presParOf" srcId="{DB842B70-8AB7-41C0-8976-2EC3185E158D}" destId="{A105B81B-2D6E-4CBC-AE52-C53C333A5CCA}" srcOrd="2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8A5C9CE-AB58-4AB0-AB74-96D1BA469C93}">
      <dsp:nvSpPr>
        <dsp:cNvPr id="0" name=""/>
        <dsp:cNvSpPr/>
      </dsp:nvSpPr>
      <dsp:spPr>
        <a:xfrm>
          <a:off x="3927" y="0"/>
          <a:ext cx="2391206" cy="1047750"/>
        </a:xfrm>
        <a:prstGeom prst="roundRect">
          <a:avLst>
            <a:gd name="adj" fmla="val 10000"/>
          </a:avLst>
        </a:prstGeom>
        <a:solidFill>
          <a:srgbClr val="0097CC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+mj-lt"/>
            </a:rPr>
            <a:t>1. Follow up on existing issue/complaint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+mj-lt"/>
            </a:rPr>
            <a:t>2. Information request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+mj-lt"/>
            </a:rPr>
            <a:t>3. Request for assistance 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+mj-lt"/>
            </a:rPr>
            <a:t>4. Positive or negative feedback and/or suggestions  </a:t>
          </a:r>
          <a:endParaRPr lang="en-US" sz="1100" kern="1200">
            <a:latin typeface="+mj-lt"/>
          </a:endParaRPr>
        </a:p>
      </dsp:txBody>
      <dsp:txXfrm>
        <a:off x="34615" y="30688"/>
        <a:ext cx="2329830" cy="986374"/>
      </dsp:txXfrm>
    </dsp:sp>
    <dsp:sp modelId="{C438E262-E674-4EE5-A100-2D14E031BFBC}">
      <dsp:nvSpPr>
        <dsp:cNvPr id="0" name=""/>
        <dsp:cNvSpPr/>
      </dsp:nvSpPr>
      <dsp:spPr>
        <a:xfrm>
          <a:off x="2634254" y="227365"/>
          <a:ext cx="506935" cy="593019"/>
        </a:xfrm>
        <a:prstGeom prst="rightArrow">
          <a:avLst>
            <a:gd name="adj1" fmla="val 60000"/>
            <a:gd name="adj2" fmla="val 50000"/>
          </a:avLst>
        </a:prstGeom>
        <a:solidFill>
          <a:srgbClr val="5DD5FF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500" kern="1200"/>
        </a:p>
      </dsp:txBody>
      <dsp:txXfrm>
        <a:off x="2634254" y="345969"/>
        <a:ext cx="354855" cy="355811"/>
      </dsp:txXfrm>
    </dsp:sp>
    <dsp:sp modelId="{A105B81B-2D6E-4CBC-AE52-C53C333A5CCA}">
      <dsp:nvSpPr>
        <dsp:cNvPr id="0" name=""/>
        <dsp:cNvSpPr/>
      </dsp:nvSpPr>
      <dsp:spPr>
        <a:xfrm>
          <a:off x="3351616" y="0"/>
          <a:ext cx="2391206" cy="1047750"/>
        </a:xfrm>
        <a:prstGeom prst="roundRect">
          <a:avLst>
            <a:gd name="adj" fmla="val 10000"/>
          </a:avLst>
        </a:prstGeom>
        <a:solidFill>
          <a:srgbClr val="0097CC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en-GB" sz="1100" kern="1200">
              <a:latin typeface="+mj-lt"/>
            </a:rPr>
            <a:t>Proceed according to WFP/ACNUR SOPs/guidelines.</a:t>
          </a:r>
          <a:endParaRPr lang="en-US" sz="1100" kern="1200">
            <a:latin typeface="+mj-lt"/>
          </a:endParaRPr>
        </a:p>
      </dsp:txBody>
      <dsp:txXfrm>
        <a:off x="3382304" y="30688"/>
        <a:ext cx="2329830" cy="98637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8A5C9CE-AB58-4AB0-AB74-96D1BA469C93}">
      <dsp:nvSpPr>
        <dsp:cNvPr id="0" name=""/>
        <dsp:cNvSpPr/>
      </dsp:nvSpPr>
      <dsp:spPr>
        <a:xfrm>
          <a:off x="1118" y="20679"/>
          <a:ext cx="2385609" cy="676191"/>
        </a:xfrm>
        <a:prstGeom prst="roundRect">
          <a:avLst>
            <a:gd name="adj" fmla="val 10000"/>
          </a:avLst>
        </a:prstGeom>
        <a:solidFill>
          <a:srgbClr val="0097CC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+mj-lt"/>
            </a:rPr>
            <a:t>5. Complaint or breach of UN principles of conduct </a:t>
          </a:r>
          <a:endParaRPr lang="en-US" sz="1100" kern="1200">
            <a:latin typeface="+mj-lt"/>
          </a:endParaRPr>
        </a:p>
      </dsp:txBody>
      <dsp:txXfrm>
        <a:off x="20923" y="40484"/>
        <a:ext cx="2345999" cy="636581"/>
      </dsp:txXfrm>
    </dsp:sp>
    <dsp:sp modelId="{C438E262-E674-4EE5-A100-2D14E031BFBC}">
      <dsp:nvSpPr>
        <dsp:cNvPr id="0" name=""/>
        <dsp:cNvSpPr/>
      </dsp:nvSpPr>
      <dsp:spPr>
        <a:xfrm>
          <a:off x="2625289" y="62959"/>
          <a:ext cx="505749" cy="591631"/>
        </a:xfrm>
        <a:prstGeom prst="rightArrow">
          <a:avLst>
            <a:gd name="adj1" fmla="val 60000"/>
            <a:gd name="adj2" fmla="val 50000"/>
          </a:avLst>
        </a:prstGeom>
        <a:solidFill>
          <a:srgbClr val="5DD5FF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500" kern="1200"/>
        </a:p>
      </dsp:txBody>
      <dsp:txXfrm>
        <a:off x="2625289" y="181285"/>
        <a:ext cx="354024" cy="354979"/>
      </dsp:txXfrm>
    </dsp:sp>
    <dsp:sp modelId="{A105B81B-2D6E-4CBC-AE52-C53C333A5CCA}">
      <dsp:nvSpPr>
        <dsp:cNvPr id="0" name=""/>
        <dsp:cNvSpPr/>
      </dsp:nvSpPr>
      <dsp:spPr>
        <a:xfrm>
          <a:off x="3340971" y="20679"/>
          <a:ext cx="2385609" cy="676191"/>
        </a:xfrm>
        <a:prstGeom prst="roundRect">
          <a:avLst>
            <a:gd name="adj" fmla="val 10000"/>
          </a:avLst>
        </a:prstGeom>
        <a:solidFill>
          <a:srgbClr val="0097CC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+mj-lt"/>
            </a:rPr>
            <a:t>The call </a:t>
          </a:r>
          <a:r>
            <a:rPr lang="en-GB" sz="1100" b="1" kern="1200">
              <a:solidFill>
                <a:schemeClr val="accent2"/>
              </a:solidFill>
              <a:latin typeface="+mj-lt"/>
            </a:rPr>
            <a:t>could be SEA related</a:t>
          </a:r>
          <a:r>
            <a:rPr lang="en-GB" sz="1100" b="1" kern="1200">
              <a:latin typeface="+mj-lt"/>
            </a:rPr>
            <a:t>. </a:t>
          </a:r>
          <a:r>
            <a:rPr lang="en-GB" sz="1100" kern="1200">
              <a:latin typeface="+mj-lt"/>
            </a:rPr>
            <a:t>Proceed as </a:t>
          </a:r>
          <a:r>
            <a:rPr lang="en-GB" sz="1100" b="1" kern="1200">
              <a:solidFill>
                <a:schemeClr val="accent2"/>
              </a:solidFill>
              <a:latin typeface="+mj-lt"/>
            </a:rPr>
            <a:t>outlined below</a:t>
          </a:r>
          <a:r>
            <a:rPr lang="en-GB" sz="1100" b="1" kern="1200">
              <a:latin typeface="+mj-lt"/>
            </a:rPr>
            <a:t>. </a:t>
          </a:r>
          <a:endParaRPr lang="en-US" sz="1100" kern="1200">
            <a:latin typeface="+mj-lt"/>
          </a:endParaRPr>
        </a:p>
      </dsp:txBody>
      <dsp:txXfrm>
        <a:off x="3360776" y="40484"/>
        <a:ext cx="2345999" cy="6365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Mikaela Christiansson</dc:creator>
  <cp:keywords/>
  <dc:description/>
  <cp:lastModifiedBy>Peride Blind</cp:lastModifiedBy>
  <cp:revision>2</cp:revision>
  <dcterms:created xsi:type="dcterms:W3CDTF">2021-11-07T22:54:00Z</dcterms:created>
  <dcterms:modified xsi:type="dcterms:W3CDTF">2021-11-07T22:54:00Z</dcterms:modified>
</cp:coreProperties>
</file>