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58D7" w14:textId="57FA50A7" w:rsidR="005F7F03" w:rsidRPr="00233841" w:rsidRDefault="00DF0B4D" w:rsidP="00233841">
      <w:pPr>
        <w:jc w:val="both"/>
        <w:rPr>
          <w:rFonts w:cstheme="minorHAnsi"/>
          <w:b/>
          <w:bCs/>
        </w:rPr>
      </w:pPr>
      <w:r w:rsidRPr="00233841">
        <w:rPr>
          <w:rFonts w:cstheme="minorHAnsi"/>
          <w:b/>
          <w:bCs/>
        </w:rPr>
        <w:t xml:space="preserve">PSEA Network </w:t>
      </w:r>
      <w:r w:rsidR="00233841" w:rsidRPr="00233841">
        <w:rPr>
          <w:rFonts w:cstheme="minorHAnsi"/>
          <w:b/>
          <w:bCs/>
        </w:rPr>
        <w:t>Somalia</w:t>
      </w:r>
      <w:r w:rsidRPr="00233841">
        <w:rPr>
          <w:rFonts w:cstheme="minorHAnsi"/>
          <w:b/>
          <w:bCs/>
        </w:rPr>
        <w:t xml:space="preserve">: Covid-19 Tip Sheet </w:t>
      </w:r>
    </w:p>
    <w:p w14:paraId="1B602798" w14:textId="52DBAD56" w:rsidR="00DF0B4D" w:rsidRPr="00233841" w:rsidRDefault="00DF0B4D" w:rsidP="00233841">
      <w:pPr>
        <w:jc w:val="both"/>
        <w:rPr>
          <w:rFonts w:cstheme="minorHAnsi"/>
          <w:b/>
          <w:bCs/>
        </w:rPr>
      </w:pPr>
    </w:p>
    <w:p w14:paraId="5095A225" w14:textId="7334D198" w:rsidR="00DF0B4D" w:rsidRPr="00233841" w:rsidRDefault="00DF0B4D" w:rsidP="00233841">
      <w:pPr>
        <w:jc w:val="both"/>
        <w:rPr>
          <w:rFonts w:cstheme="minorHAnsi"/>
        </w:rPr>
      </w:pPr>
      <w:r w:rsidRPr="00233841">
        <w:rPr>
          <w:rFonts w:cstheme="minorHAnsi"/>
        </w:rPr>
        <w:t xml:space="preserve">The present Covid-19 situation in </w:t>
      </w:r>
      <w:r w:rsidR="00233841" w:rsidRPr="00233841">
        <w:rPr>
          <w:rFonts w:cstheme="minorHAnsi"/>
        </w:rPr>
        <w:t>Somalia</w:t>
      </w:r>
      <w:r w:rsidRPr="00233841">
        <w:rPr>
          <w:rFonts w:cstheme="minorHAnsi"/>
        </w:rPr>
        <w:t xml:space="preserve"> presents challenges for humanitarian, development and peacebuilding actors operating in the country.  </w:t>
      </w:r>
      <w:r w:rsidR="00206BBC" w:rsidRPr="00233841">
        <w:rPr>
          <w:rFonts w:cstheme="minorHAnsi"/>
        </w:rPr>
        <w:t xml:space="preserve">Agencies and partners have contemplated scenario-based adjustment in interventions; </w:t>
      </w:r>
      <w:r w:rsidR="00401D8B" w:rsidRPr="00233841">
        <w:rPr>
          <w:rFonts w:cstheme="minorHAnsi"/>
        </w:rPr>
        <w:t xml:space="preserve">reprioritising activities, </w:t>
      </w:r>
      <w:r w:rsidR="00206BBC" w:rsidRPr="00233841">
        <w:rPr>
          <w:rFonts w:cstheme="minorHAnsi"/>
        </w:rPr>
        <w:t>scaling down presence and face-to-face interactions</w:t>
      </w:r>
      <w:r w:rsidR="00401D8B" w:rsidRPr="00233841">
        <w:rPr>
          <w:rFonts w:cstheme="minorHAnsi"/>
        </w:rPr>
        <w:t xml:space="preserve">, </w:t>
      </w:r>
      <w:r w:rsidR="00206BBC" w:rsidRPr="00233841">
        <w:rPr>
          <w:rFonts w:cstheme="minorHAnsi"/>
        </w:rPr>
        <w:t>switching to remote delivery of services</w:t>
      </w:r>
      <w:r w:rsidR="00401D8B" w:rsidRPr="00233841">
        <w:rPr>
          <w:rFonts w:cstheme="minorHAnsi"/>
        </w:rPr>
        <w:t xml:space="preserve"> and activities</w:t>
      </w:r>
      <w:r w:rsidR="00545C97" w:rsidRPr="00233841">
        <w:rPr>
          <w:rFonts w:cstheme="minorHAnsi"/>
        </w:rPr>
        <w:t>,</w:t>
      </w:r>
      <w:r w:rsidR="00401D8B" w:rsidRPr="00233841">
        <w:rPr>
          <w:rFonts w:cstheme="minorHAnsi"/>
        </w:rPr>
        <w:t xml:space="preserve"> and placing</w:t>
      </w:r>
      <w:r w:rsidR="00206BBC" w:rsidRPr="00233841">
        <w:rPr>
          <w:rFonts w:cstheme="minorHAnsi"/>
        </w:rPr>
        <w:t xml:space="preserve"> greater reliance on communities on the ground to protect themselves. </w:t>
      </w:r>
      <w:r w:rsidRPr="00233841">
        <w:rPr>
          <w:rFonts w:cstheme="minorHAnsi"/>
        </w:rPr>
        <w:t>These challenges</w:t>
      </w:r>
      <w:r w:rsidR="00206BBC" w:rsidRPr="00233841">
        <w:rPr>
          <w:rFonts w:cstheme="minorHAnsi"/>
        </w:rPr>
        <w:t xml:space="preserve"> therefore</w:t>
      </w:r>
      <w:r w:rsidRPr="00233841">
        <w:rPr>
          <w:rFonts w:cstheme="minorHAnsi"/>
        </w:rPr>
        <w:t xml:space="preserve"> include restricted travel to monitor programs, remote supervision of staff in the field, and even less access to already hard-to-reach communities to conduct community sensitisation activities.  In this environment, the risk of sexual exploitation and abuse may increase, </w:t>
      </w:r>
      <w:r w:rsidR="00DA390C" w:rsidRPr="00233841">
        <w:rPr>
          <w:rFonts w:cstheme="minorHAnsi"/>
        </w:rPr>
        <w:t xml:space="preserve">while </w:t>
      </w:r>
      <w:r w:rsidRPr="00233841">
        <w:rPr>
          <w:rFonts w:cstheme="minorHAnsi"/>
        </w:rPr>
        <w:t>reporting channels</w:t>
      </w:r>
      <w:r w:rsidR="00C875A7" w:rsidRPr="00233841">
        <w:rPr>
          <w:rFonts w:cstheme="minorHAnsi"/>
        </w:rPr>
        <w:t xml:space="preserve"> and timely response</w:t>
      </w:r>
      <w:r w:rsidRPr="00233841">
        <w:rPr>
          <w:rFonts w:cstheme="minorHAnsi"/>
        </w:rPr>
        <w:t xml:space="preserve"> may be compromised.  </w:t>
      </w:r>
      <w:r w:rsidR="006F0921" w:rsidRPr="00233841">
        <w:rPr>
          <w:rFonts w:cstheme="minorHAnsi"/>
        </w:rPr>
        <w:t xml:space="preserve">This document is intended to provide guidance to PSEA </w:t>
      </w:r>
      <w:r w:rsidR="0031240A">
        <w:rPr>
          <w:rFonts w:cstheme="minorHAnsi"/>
        </w:rPr>
        <w:t>taskforce</w:t>
      </w:r>
      <w:r w:rsidR="006F0921" w:rsidRPr="00233841">
        <w:rPr>
          <w:rFonts w:cstheme="minorHAnsi"/>
        </w:rPr>
        <w:t xml:space="preserve"> members to ensure that prevention and response mechanisms are in place through this challenging period.  </w:t>
      </w:r>
      <w:r w:rsidR="00CA0C5D" w:rsidRPr="00233841">
        <w:rPr>
          <w:rFonts w:cstheme="minorHAnsi"/>
        </w:rPr>
        <w:t>It should be read in conjunction with the IASC interim technical guidance on PSEA during COVID-19 response.</w:t>
      </w:r>
      <w:r w:rsidR="00CA0C5D" w:rsidRPr="00233841">
        <w:rPr>
          <w:rStyle w:val="FootnoteReference"/>
          <w:rFonts w:cstheme="minorHAnsi"/>
        </w:rPr>
        <w:footnoteReference w:id="1"/>
      </w:r>
    </w:p>
    <w:p w14:paraId="70833A48" w14:textId="755FC414" w:rsidR="006F0921" w:rsidRPr="00233841" w:rsidRDefault="006F0921" w:rsidP="00233841">
      <w:pPr>
        <w:jc w:val="both"/>
        <w:rPr>
          <w:rFonts w:cstheme="minorHAnsi"/>
        </w:rPr>
      </w:pPr>
    </w:p>
    <w:p w14:paraId="75F23111" w14:textId="3723F07E" w:rsidR="006F0921" w:rsidRPr="00233841" w:rsidRDefault="006F0921" w:rsidP="0023384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33841">
        <w:rPr>
          <w:rFonts w:cstheme="minorHAnsi"/>
          <w:b/>
          <w:bCs/>
        </w:rPr>
        <w:t xml:space="preserve">Ensure key staff are still working </w:t>
      </w:r>
      <w:r w:rsidR="00C3705E" w:rsidRPr="00233841">
        <w:rPr>
          <w:rFonts w:cstheme="minorHAnsi"/>
          <w:b/>
          <w:bCs/>
        </w:rPr>
        <w:t>and reachable</w:t>
      </w:r>
    </w:p>
    <w:p w14:paraId="1E7BD086" w14:textId="1F6591F1" w:rsidR="006F0921" w:rsidRPr="00233841" w:rsidRDefault="006F0921" w:rsidP="0023384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This includes PSEA focal points and staff that may have responsibilities according to internal reporting policies (for example, human resources or senior management staff).  </w:t>
      </w:r>
    </w:p>
    <w:p w14:paraId="169C8EAA" w14:textId="154D4641" w:rsidR="006F0921" w:rsidRPr="00233841" w:rsidRDefault="006F0921" w:rsidP="0023384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If any key staff have been placed on hold or other arrangement, ensure that another staff member has been assigned the relevant responsibilities.  </w:t>
      </w:r>
      <w:r w:rsidR="00545C97" w:rsidRPr="00233841">
        <w:rPr>
          <w:rFonts w:cstheme="minorHAnsi"/>
        </w:rPr>
        <w:t xml:space="preserve">If necessary and resource permitting, encourage </w:t>
      </w:r>
      <w:r w:rsidR="00E347FB" w:rsidRPr="00233841">
        <w:rPr>
          <w:rFonts w:cstheme="minorHAnsi"/>
        </w:rPr>
        <w:t>instituting</w:t>
      </w:r>
      <w:r w:rsidR="00545C97" w:rsidRPr="00233841">
        <w:rPr>
          <w:rFonts w:cstheme="minorHAnsi"/>
        </w:rPr>
        <w:t xml:space="preserve"> a clear, predictable back-up system with more than one identifiable </w:t>
      </w:r>
      <w:r w:rsidR="00D1451A" w:rsidRPr="00233841">
        <w:rPr>
          <w:rFonts w:cstheme="minorHAnsi"/>
        </w:rPr>
        <w:t xml:space="preserve">trained </w:t>
      </w:r>
      <w:r w:rsidR="00545C97" w:rsidRPr="00233841">
        <w:rPr>
          <w:rFonts w:cstheme="minorHAnsi"/>
        </w:rPr>
        <w:t>PSEA focal point/support staff.</w:t>
      </w:r>
    </w:p>
    <w:p w14:paraId="783030BE" w14:textId="3D2B9741" w:rsidR="006F0921" w:rsidRPr="00233841" w:rsidRDefault="006F0921" w:rsidP="00233841">
      <w:pPr>
        <w:jc w:val="both"/>
        <w:rPr>
          <w:rFonts w:cstheme="minorHAnsi"/>
        </w:rPr>
      </w:pPr>
    </w:p>
    <w:p w14:paraId="4C566E7B" w14:textId="6F6F81EF" w:rsidR="006F0921" w:rsidRPr="00233841" w:rsidRDefault="006F0921" w:rsidP="0023384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33841">
        <w:rPr>
          <w:rFonts w:cstheme="minorHAnsi"/>
          <w:b/>
          <w:bCs/>
        </w:rPr>
        <w:t xml:space="preserve">Review internal reporting procedures </w:t>
      </w:r>
    </w:p>
    <w:p w14:paraId="52B59520" w14:textId="77777777" w:rsidR="001446B3" w:rsidRPr="00233841" w:rsidRDefault="004D55A9" w:rsidP="0023384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Internal complaints handling procedures should be reviewed to ensure that </w:t>
      </w:r>
      <w:r w:rsidR="00D850DE" w:rsidRPr="00233841">
        <w:rPr>
          <w:rFonts w:cstheme="minorHAnsi"/>
          <w:b/>
          <w:bCs/>
          <w:i/>
          <w:iCs/>
        </w:rPr>
        <w:t>complaints received from beneficiaries</w:t>
      </w:r>
      <w:r w:rsidR="001446B3" w:rsidRPr="00233841">
        <w:rPr>
          <w:rFonts w:cstheme="minorHAnsi"/>
          <w:b/>
          <w:bCs/>
          <w:i/>
          <w:iCs/>
        </w:rPr>
        <w:t xml:space="preserve"> or affected community members</w:t>
      </w:r>
      <w:r w:rsidR="001446B3" w:rsidRPr="00233841">
        <w:rPr>
          <w:rFonts w:cstheme="minorHAnsi"/>
        </w:rPr>
        <w:t xml:space="preserve"> are able to be channelled to appropriate staff members efficiently.  For example: </w:t>
      </w:r>
    </w:p>
    <w:p w14:paraId="23D88E69" w14:textId="0FBBF75A" w:rsidR="006F0921" w:rsidRPr="00233841" w:rsidRDefault="001446B3" w:rsidP="00233841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>complaints received by complaints box are still able to be received by responsible staff</w:t>
      </w:r>
      <w:r w:rsidR="00C3705E" w:rsidRPr="00233841">
        <w:rPr>
          <w:rFonts w:cstheme="minorHAnsi"/>
        </w:rPr>
        <w:t>, or clearly provide information if this channel will be discontinued due to access restrictions</w:t>
      </w:r>
      <w:r w:rsidRPr="00233841">
        <w:rPr>
          <w:rFonts w:cstheme="minorHAnsi"/>
        </w:rPr>
        <w:t xml:space="preserve">; </w:t>
      </w:r>
    </w:p>
    <w:p w14:paraId="325D226D" w14:textId="3503EAB2" w:rsidR="001446B3" w:rsidRPr="00233841" w:rsidRDefault="002C60F8" w:rsidP="00233841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>hotlines are manned by responsible staff; and</w:t>
      </w:r>
    </w:p>
    <w:p w14:paraId="5932E3B3" w14:textId="48653AAE" w:rsidR="002C60F8" w:rsidRPr="00233841" w:rsidRDefault="002C60F8" w:rsidP="00233841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community facilitators </w:t>
      </w:r>
      <w:proofErr w:type="gramStart"/>
      <w:r w:rsidRPr="00233841">
        <w:rPr>
          <w:rFonts w:cstheme="minorHAnsi"/>
        </w:rPr>
        <w:t>are able to</w:t>
      </w:r>
      <w:proofErr w:type="gramEnd"/>
      <w:r w:rsidRPr="00233841">
        <w:rPr>
          <w:rFonts w:cstheme="minorHAnsi"/>
        </w:rPr>
        <w:t xml:space="preserve"> be reached by phone or </w:t>
      </w:r>
      <w:r w:rsidR="00325393" w:rsidRPr="00233841">
        <w:rPr>
          <w:rFonts w:cstheme="minorHAnsi"/>
        </w:rPr>
        <w:t>another</w:t>
      </w:r>
      <w:r w:rsidRPr="00233841">
        <w:rPr>
          <w:rFonts w:cstheme="minorHAnsi"/>
        </w:rPr>
        <w:t xml:space="preserve"> avenue.  </w:t>
      </w:r>
    </w:p>
    <w:p w14:paraId="6C633A81" w14:textId="540BB2A4" w:rsidR="002C60F8" w:rsidRPr="00233841" w:rsidRDefault="00BF6EF7" w:rsidP="0023384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Internal complaints handling procedures should be reviewed to ensure that, once received, </w:t>
      </w:r>
      <w:r w:rsidRPr="00233841">
        <w:rPr>
          <w:rFonts w:cstheme="minorHAnsi"/>
          <w:b/>
          <w:bCs/>
          <w:i/>
          <w:iCs/>
        </w:rPr>
        <w:t>complaints are channelled to appropriate staff as quickly as possible</w:t>
      </w:r>
      <w:r w:rsidRPr="00233841">
        <w:rPr>
          <w:rFonts w:cstheme="minorHAnsi"/>
        </w:rPr>
        <w:t xml:space="preserve">, notwithstanding remote working arrangements.  Delays in channelling complaints may result in the survivor not being able to access critical services and/or important evidence being lost.  </w:t>
      </w:r>
    </w:p>
    <w:p w14:paraId="5FD12E6B" w14:textId="1A7A5905" w:rsidR="00484986" w:rsidRPr="00233841" w:rsidRDefault="00484986" w:rsidP="0023384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As working from home has become a new modality to prevent the COVID-19 spread, make sure that the complaint referral systems within organizations and outside organizations are confidential and survivor-centred, for example, the IT infrastructure, office communication software are secure.  </w:t>
      </w:r>
    </w:p>
    <w:p w14:paraId="62B5D314" w14:textId="028657E9" w:rsidR="00484986" w:rsidRPr="00233841" w:rsidRDefault="00484986" w:rsidP="00233841">
      <w:pPr>
        <w:jc w:val="both"/>
        <w:rPr>
          <w:rFonts w:cstheme="minorHAnsi"/>
        </w:rPr>
      </w:pPr>
    </w:p>
    <w:p w14:paraId="76E72D0E" w14:textId="62156AC8" w:rsidR="00484986" w:rsidRPr="00233841" w:rsidRDefault="00484986" w:rsidP="0023384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33841">
        <w:rPr>
          <w:rFonts w:cstheme="minorHAnsi"/>
          <w:b/>
          <w:bCs/>
        </w:rPr>
        <w:t xml:space="preserve">Referral services </w:t>
      </w:r>
    </w:p>
    <w:p w14:paraId="37EF62AB" w14:textId="1ACFF03B" w:rsidR="00145552" w:rsidRPr="00233841" w:rsidRDefault="00484986" w:rsidP="0023384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233841">
        <w:rPr>
          <w:rFonts w:cstheme="minorHAnsi"/>
        </w:rPr>
        <w:lastRenderedPageBreak/>
        <w:t>Check that local life-saving services and other survivor services (child protection, gender-based violence services) are available during this time.  Update service referral contact lists as necessary</w:t>
      </w:r>
      <w:r w:rsidR="00EA704E" w:rsidRPr="00233841">
        <w:rPr>
          <w:rFonts w:cstheme="minorHAnsi"/>
        </w:rPr>
        <w:t xml:space="preserve"> and make sure relevant staff are aware of whom to contact</w:t>
      </w:r>
      <w:r w:rsidRPr="00233841">
        <w:rPr>
          <w:rFonts w:cstheme="minorHAnsi"/>
        </w:rPr>
        <w:t xml:space="preserve">.  </w:t>
      </w:r>
    </w:p>
    <w:p w14:paraId="363FCD58" w14:textId="3403D5AF" w:rsidR="00545C97" w:rsidRPr="00233841" w:rsidRDefault="00545C97" w:rsidP="0023384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233841">
        <w:rPr>
          <w:rFonts w:cstheme="minorHAnsi"/>
        </w:rPr>
        <w:t>Coordinate with survivor services on changes in their modalities of services (e.g. integration in health services, remote services).</w:t>
      </w:r>
    </w:p>
    <w:p w14:paraId="7741F120" w14:textId="39BC81DB" w:rsidR="00012FAB" w:rsidRPr="00233841" w:rsidRDefault="00012FAB" w:rsidP="00233841">
      <w:pPr>
        <w:jc w:val="both"/>
        <w:rPr>
          <w:rFonts w:cstheme="minorHAnsi"/>
        </w:rPr>
      </w:pPr>
    </w:p>
    <w:p w14:paraId="074EC2B3" w14:textId="295893D4" w:rsidR="00012FAB" w:rsidRPr="00233841" w:rsidRDefault="00012FAB" w:rsidP="00233841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33841">
        <w:rPr>
          <w:rFonts w:cstheme="minorHAnsi"/>
          <w:b/>
          <w:bCs/>
        </w:rPr>
        <w:t>Integrate PSEA into COVID-19 preparedness and response</w:t>
      </w:r>
    </w:p>
    <w:p w14:paraId="462BFE37" w14:textId="53933863" w:rsidR="00012FAB" w:rsidRPr="00233841" w:rsidRDefault="00012FAB" w:rsidP="00233841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Share PSEA key messages </w:t>
      </w:r>
      <w:r w:rsidR="00C3705E" w:rsidRPr="00233841">
        <w:rPr>
          <w:rFonts w:cstheme="minorHAnsi"/>
        </w:rPr>
        <w:t xml:space="preserve">during all activities </w:t>
      </w:r>
      <w:r w:rsidR="00236EF8" w:rsidRPr="00233841">
        <w:rPr>
          <w:rFonts w:cstheme="minorHAnsi"/>
        </w:rPr>
        <w:t>e.g.</w:t>
      </w:r>
      <w:r w:rsidR="00C3705E" w:rsidRPr="00233841">
        <w:rPr>
          <w:rFonts w:cstheme="minorHAnsi"/>
        </w:rPr>
        <w:t xml:space="preserve"> </w:t>
      </w:r>
      <w:r w:rsidRPr="00233841">
        <w:rPr>
          <w:rFonts w:cstheme="minorHAnsi"/>
        </w:rPr>
        <w:t>when distributing supplies or assistance related to COVID-19.</w:t>
      </w:r>
      <w:r w:rsidR="001133A8" w:rsidRPr="00233841">
        <w:rPr>
          <w:rFonts w:cstheme="minorHAnsi"/>
        </w:rPr>
        <w:t xml:space="preserve">  Examples of key messages are below: </w:t>
      </w:r>
    </w:p>
    <w:p w14:paraId="5790EAD4" w14:textId="01C708C6" w:rsidR="001133A8" w:rsidRPr="00233841" w:rsidRDefault="001133A8" w:rsidP="00233841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All aid is free.  No sexual or other favour can be requested in exchange of assistance.  </w:t>
      </w:r>
    </w:p>
    <w:p w14:paraId="3ECA3C16" w14:textId="77777777" w:rsidR="00FD4464" w:rsidRPr="00233841" w:rsidRDefault="001133A8" w:rsidP="00233841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Aid workers (international or national) should not take advantage of their positions in a sexual way.  </w:t>
      </w:r>
      <w:r w:rsidR="00FD4464" w:rsidRPr="00233841">
        <w:rPr>
          <w:rFonts w:cstheme="minorHAnsi"/>
        </w:rPr>
        <w:t xml:space="preserve"> If any aid worker demands sex or sexual favours in any way, this is not acceptable behaviour and it should be reported.  </w:t>
      </w:r>
    </w:p>
    <w:p w14:paraId="4BA835A6" w14:textId="354164DA" w:rsidR="001133A8" w:rsidRPr="00233841" w:rsidRDefault="001133A8" w:rsidP="00233841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233841">
        <w:rPr>
          <w:rFonts w:cstheme="minorHAnsi"/>
        </w:rPr>
        <w:t>You should report any unacceptable behaviour to any NGO or UN staff (</w:t>
      </w:r>
      <w:r w:rsidR="00325393">
        <w:rPr>
          <w:rFonts w:cstheme="minorHAnsi"/>
        </w:rPr>
        <w:t xml:space="preserve">or email </w:t>
      </w:r>
      <w:r w:rsidRPr="00233841">
        <w:rPr>
          <w:rFonts w:cstheme="minorHAnsi"/>
          <w:i/>
          <w:iCs/>
        </w:rPr>
        <w:t>or hotline number</w:t>
      </w:r>
    </w:p>
    <w:p w14:paraId="5E72A995" w14:textId="501FE11F" w:rsidR="00012FAB" w:rsidRPr="00233841" w:rsidRDefault="00012FAB" w:rsidP="00233841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33841">
        <w:rPr>
          <w:rFonts w:cstheme="minorHAnsi"/>
        </w:rPr>
        <w:t>Encourage non-face-to-face reporting such as a phone number, direct-messaging or other means</w:t>
      </w:r>
      <w:r w:rsidR="00276575" w:rsidRPr="00233841">
        <w:rPr>
          <w:rFonts w:cstheme="minorHAnsi"/>
        </w:rPr>
        <w:t xml:space="preserve"> and ensure that this mechanism is communicated to communities</w:t>
      </w:r>
      <w:r w:rsidRPr="00233841">
        <w:rPr>
          <w:rFonts w:cstheme="minorHAnsi"/>
        </w:rPr>
        <w:t xml:space="preserve">. </w:t>
      </w:r>
      <w:r w:rsidR="00C3705E" w:rsidRPr="00233841">
        <w:rPr>
          <w:rFonts w:cstheme="minorHAnsi"/>
        </w:rPr>
        <w:t xml:space="preserve"> Provide clear information if/when certain reporting channels will be discontinued or adjusted.</w:t>
      </w:r>
      <w:r w:rsidRPr="00233841">
        <w:rPr>
          <w:rFonts w:cstheme="minorHAnsi"/>
        </w:rPr>
        <w:t xml:space="preserve"> </w:t>
      </w:r>
      <w:r w:rsidR="00325393">
        <w:rPr>
          <w:rFonts w:cstheme="minorHAnsi"/>
        </w:rPr>
        <w:t xml:space="preserve">( </w:t>
      </w:r>
      <w:hyperlink r:id="rId8" w:history="1">
        <w:r w:rsidR="00325393" w:rsidRPr="00614932">
          <w:rPr>
            <w:rStyle w:val="Hyperlink"/>
            <w:rFonts w:cstheme="minorHAnsi"/>
          </w:rPr>
          <w:t>psea.so@one.un.org</w:t>
        </w:r>
      </w:hyperlink>
      <w:r w:rsidR="00325393">
        <w:rPr>
          <w:rFonts w:cstheme="minorHAnsi"/>
          <w:i/>
          <w:iCs/>
        </w:rPr>
        <w:t xml:space="preserve"> </w:t>
      </w:r>
      <w:r w:rsidR="00325393">
        <w:rPr>
          <w:rFonts w:cstheme="minorHAnsi"/>
          <w:i/>
          <w:iCs/>
        </w:rPr>
        <w:t xml:space="preserve"> WFP call </w:t>
      </w:r>
      <w:proofErr w:type="spellStart"/>
      <w:r w:rsidR="00325393">
        <w:rPr>
          <w:rFonts w:cstheme="minorHAnsi"/>
          <w:i/>
          <w:iCs/>
        </w:rPr>
        <w:t>center</w:t>
      </w:r>
      <w:proofErr w:type="spellEnd"/>
      <w:r w:rsidR="00325393">
        <w:rPr>
          <w:rFonts w:cstheme="minorHAnsi"/>
          <w:i/>
          <w:iCs/>
        </w:rPr>
        <w:t xml:space="preserve"> numbers are:</w:t>
      </w:r>
      <w:r w:rsidR="00325393">
        <w:rPr>
          <w:rFonts w:cstheme="minorHAnsi"/>
          <w:i/>
          <w:iCs/>
        </w:rPr>
        <w:t xml:space="preserve"> </w:t>
      </w:r>
      <w:bookmarkStart w:id="0" w:name="_GoBack"/>
      <w:bookmarkEnd w:id="0"/>
      <w:r w:rsidR="00325393" w:rsidRPr="00233841">
        <w:rPr>
          <w:rFonts w:cstheme="minorHAnsi"/>
        </w:rPr>
        <w:t>)</w:t>
      </w:r>
    </w:p>
    <w:p w14:paraId="30BC75E8" w14:textId="35F61A47" w:rsidR="00350D5C" w:rsidRPr="00233841" w:rsidRDefault="00350D5C" w:rsidP="00233841">
      <w:pPr>
        <w:jc w:val="both"/>
        <w:rPr>
          <w:rFonts w:cstheme="minorHAnsi"/>
        </w:rPr>
      </w:pPr>
    </w:p>
    <w:p w14:paraId="5D82B8AA" w14:textId="0785DF1E" w:rsidR="00EA704E" w:rsidRPr="00233841" w:rsidRDefault="00350D5C" w:rsidP="0023384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33841">
        <w:rPr>
          <w:rFonts w:cstheme="minorHAnsi"/>
          <w:b/>
          <w:bCs/>
        </w:rPr>
        <w:t>Ensuring all staff are trained</w:t>
      </w:r>
      <w:r w:rsidR="00EA704E" w:rsidRPr="00233841">
        <w:rPr>
          <w:rFonts w:cstheme="minorHAnsi"/>
          <w:b/>
          <w:bCs/>
        </w:rPr>
        <w:t xml:space="preserve"> and know how to report</w:t>
      </w:r>
    </w:p>
    <w:p w14:paraId="2F75F5BA" w14:textId="7F9A8A03" w:rsidR="00EA704E" w:rsidRPr="00233841" w:rsidRDefault="00EA704E" w:rsidP="0023384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Ensure all staff on the ground, particularly if they have been reassigned or are new, know how to report an allegation of SEA.  </w:t>
      </w:r>
    </w:p>
    <w:p w14:paraId="66AD81BC" w14:textId="27B1F069" w:rsidR="00601A56" w:rsidRPr="00233841" w:rsidRDefault="00601A56" w:rsidP="0023384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233841">
        <w:rPr>
          <w:rFonts w:cstheme="minorHAnsi"/>
        </w:rPr>
        <w:t>With growing reliance on community based organisations and community based protection and support, endeavour to ensure that those involved in activities and service delivery are trained</w:t>
      </w:r>
      <w:r w:rsidR="002123CF" w:rsidRPr="00233841">
        <w:rPr>
          <w:rFonts w:cstheme="minorHAnsi"/>
        </w:rPr>
        <w:t>,</w:t>
      </w:r>
      <w:r w:rsidRPr="00233841">
        <w:rPr>
          <w:rFonts w:cstheme="minorHAnsi"/>
        </w:rPr>
        <w:t xml:space="preserve"> and aware of</w:t>
      </w:r>
      <w:r w:rsidR="002123CF" w:rsidRPr="00233841">
        <w:rPr>
          <w:rFonts w:cstheme="minorHAnsi"/>
        </w:rPr>
        <w:t xml:space="preserve"> (updated)</w:t>
      </w:r>
      <w:r w:rsidRPr="00233841">
        <w:rPr>
          <w:rFonts w:cstheme="minorHAnsi"/>
        </w:rPr>
        <w:t xml:space="preserve"> reporting channels.</w:t>
      </w:r>
    </w:p>
    <w:p w14:paraId="7F7671CF" w14:textId="35B3028F" w:rsidR="00350D5C" w:rsidRPr="00233841" w:rsidRDefault="00350D5C" w:rsidP="0023384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233841">
        <w:rPr>
          <w:rFonts w:cstheme="minorHAnsi"/>
        </w:rPr>
        <w:t xml:space="preserve">While in-person training will be limited, staff are encouraged to access online training opportunities to refresh their knowledge and understanding of PSEA.  Examples of online courses </w:t>
      </w:r>
      <w:r w:rsidR="00484986" w:rsidRPr="00233841">
        <w:rPr>
          <w:rFonts w:cstheme="minorHAnsi"/>
        </w:rPr>
        <w:t xml:space="preserve">and materials </w:t>
      </w:r>
      <w:r w:rsidRPr="00233841">
        <w:rPr>
          <w:rFonts w:cstheme="minorHAnsi"/>
        </w:rPr>
        <w:t xml:space="preserve">are: </w:t>
      </w:r>
    </w:p>
    <w:p w14:paraId="6CD98C50" w14:textId="29683054" w:rsidR="00350D5C" w:rsidRPr="00233841" w:rsidRDefault="007607EF" w:rsidP="00233841">
      <w:pPr>
        <w:pStyle w:val="ListParagraph"/>
        <w:numPr>
          <w:ilvl w:val="1"/>
          <w:numId w:val="4"/>
        </w:numPr>
        <w:jc w:val="both"/>
        <w:rPr>
          <w:rFonts w:eastAsia="Times New Roman" w:cstheme="minorHAnsi"/>
          <w:lang w:eastAsia="en-GB"/>
        </w:rPr>
      </w:pPr>
      <w:hyperlink r:id="rId9" w:history="1">
        <w:r w:rsidR="00350D5C" w:rsidRPr="00233841">
          <w:rPr>
            <w:rStyle w:val="Hyperlink"/>
            <w:rFonts w:eastAsia="Times New Roman" w:cstheme="minorHAnsi"/>
            <w:lang w:eastAsia="en-GB"/>
          </w:rPr>
          <w:t>https://ifrc.cs</w:t>
        </w:r>
        <w:r w:rsidR="00350D5C" w:rsidRPr="00233841">
          <w:rPr>
            <w:rStyle w:val="Hyperlink"/>
            <w:rFonts w:eastAsia="Times New Roman" w:cstheme="minorHAnsi"/>
            <w:lang w:eastAsia="en-GB"/>
          </w:rPr>
          <w:t>o</w:t>
        </w:r>
        <w:r w:rsidR="00350D5C" w:rsidRPr="00233841">
          <w:rPr>
            <w:rStyle w:val="Hyperlink"/>
            <w:rFonts w:eastAsia="Times New Roman" w:cstheme="minorHAnsi"/>
            <w:lang w:eastAsia="en-GB"/>
          </w:rPr>
          <w:t>d.com/client/ifrc/default.aspx</w:t>
        </w:r>
      </w:hyperlink>
    </w:p>
    <w:p w14:paraId="7D5D33D7" w14:textId="3081275E" w:rsidR="00DF0B4D" w:rsidRPr="00233841" w:rsidRDefault="007607EF" w:rsidP="00233841">
      <w:pPr>
        <w:pStyle w:val="ListParagraph"/>
        <w:numPr>
          <w:ilvl w:val="1"/>
          <w:numId w:val="4"/>
        </w:numPr>
        <w:jc w:val="both"/>
        <w:rPr>
          <w:rFonts w:eastAsia="Times New Roman" w:cstheme="minorHAnsi"/>
          <w:lang w:eastAsia="en-GB"/>
        </w:rPr>
      </w:pPr>
      <w:hyperlink r:id="rId10" w:history="1">
        <w:r w:rsidR="00350D5C" w:rsidRPr="00233841">
          <w:rPr>
            <w:rFonts w:eastAsia="Times New Roman" w:cstheme="minorHAnsi"/>
            <w:color w:val="0000FF"/>
            <w:u w:val="single"/>
            <w:lang w:eastAsia="en-GB"/>
          </w:rPr>
          <w:t>https://agora.unicef.org/course/info.php?id=7380</w:t>
        </w:r>
      </w:hyperlink>
    </w:p>
    <w:p w14:paraId="65D003AF" w14:textId="0ADE18B6" w:rsidR="00484986" w:rsidRPr="00233841" w:rsidRDefault="007607EF" w:rsidP="00233841">
      <w:pPr>
        <w:pStyle w:val="ListParagraph"/>
        <w:numPr>
          <w:ilvl w:val="1"/>
          <w:numId w:val="4"/>
        </w:numPr>
        <w:jc w:val="both"/>
        <w:rPr>
          <w:rStyle w:val="Hyperlink"/>
          <w:rFonts w:cstheme="minorHAnsi"/>
          <w:color w:val="auto"/>
          <w:u w:val="none"/>
        </w:rPr>
      </w:pPr>
      <w:hyperlink r:id="rId11" w:history="1">
        <w:r w:rsidR="00484986" w:rsidRPr="00233841">
          <w:rPr>
            <w:rStyle w:val="Hyperlink"/>
            <w:rFonts w:cstheme="minorHAnsi"/>
          </w:rPr>
          <w:t>https://www.interaction.org/blog/no-excuse-for-abuse/</w:t>
        </w:r>
      </w:hyperlink>
    </w:p>
    <w:p w14:paraId="0566C082" w14:textId="632D425A" w:rsidR="00145552" w:rsidRPr="00233841" w:rsidRDefault="00145552" w:rsidP="00233841">
      <w:pPr>
        <w:pStyle w:val="ListParagraph"/>
        <w:numPr>
          <w:ilvl w:val="0"/>
          <w:numId w:val="4"/>
        </w:numPr>
        <w:jc w:val="both"/>
        <w:rPr>
          <w:rStyle w:val="Hyperlink"/>
          <w:rFonts w:cstheme="minorHAnsi"/>
          <w:color w:val="000000" w:themeColor="text1"/>
          <w:u w:val="none"/>
        </w:rPr>
      </w:pPr>
      <w:r w:rsidRPr="00233841">
        <w:rPr>
          <w:rStyle w:val="Hyperlink"/>
          <w:rFonts w:cstheme="minorHAnsi"/>
          <w:color w:val="000000" w:themeColor="text1"/>
          <w:u w:val="none"/>
        </w:rPr>
        <w:t xml:space="preserve">The organization’s Code of Conduct could also be reinforced (e.g. re-circulated) at this time.  </w:t>
      </w:r>
    </w:p>
    <w:p w14:paraId="43280EFA" w14:textId="1CFBBEEF" w:rsidR="00CA0C5D" w:rsidRPr="00233841" w:rsidRDefault="00CA0C5D" w:rsidP="00233841">
      <w:pPr>
        <w:jc w:val="both"/>
        <w:rPr>
          <w:rFonts w:cstheme="minorHAnsi"/>
        </w:rPr>
      </w:pPr>
    </w:p>
    <w:p w14:paraId="4D7391A9" w14:textId="0AFED178" w:rsidR="00CA0C5D" w:rsidRPr="00233841" w:rsidRDefault="00CA0C5D" w:rsidP="00233841">
      <w:pPr>
        <w:pStyle w:val="ListParagraph"/>
        <w:jc w:val="both"/>
        <w:rPr>
          <w:rFonts w:cstheme="minorHAnsi"/>
        </w:rPr>
      </w:pPr>
    </w:p>
    <w:sectPr w:rsidR="00CA0C5D" w:rsidRPr="00233841" w:rsidSect="004937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D750" w14:textId="77777777" w:rsidR="007607EF" w:rsidRDefault="007607EF" w:rsidP="00CA0C5D">
      <w:r>
        <w:separator/>
      </w:r>
    </w:p>
  </w:endnote>
  <w:endnote w:type="continuationSeparator" w:id="0">
    <w:p w14:paraId="0948EDF0" w14:textId="77777777" w:rsidR="007607EF" w:rsidRDefault="007607EF" w:rsidP="00CA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B433" w14:textId="77777777" w:rsidR="007607EF" w:rsidRDefault="007607EF" w:rsidP="00CA0C5D">
      <w:r>
        <w:separator/>
      </w:r>
    </w:p>
  </w:footnote>
  <w:footnote w:type="continuationSeparator" w:id="0">
    <w:p w14:paraId="002C6957" w14:textId="77777777" w:rsidR="007607EF" w:rsidRDefault="007607EF" w:rsidP="00CA0C5D">
      <w:r>
        <w:continuationSeparator/>
      </w:r>
    </w:p>
  </w:footnote>
  <w:footnote w:id="1">
    <w:p w14:paraId="5EB60106" w14:textId="7DD41BE5" w:rsidR="00CA0C5D" w:rsidRDefault="00CA0C5D">
      <w:pPr>
        <w:pStyle w:val="FootnoteText"/>
      </w:pPr>
      <w:r>
        <w:rPr>
          <w:rStyle w:val="FootnoteReference"/>
        </w:rPr>
        <w:footnoteRef/>
      </w:r>
      <w:r>
        <w:t xml:space="preserve"> Version 1.0, </w:t>
      </w:r>
      <w:r w:rsidR="00325393">
        <w:t>April</w:t>
      </w:r>
      <w:r>
        <w:t xml:space="preserve"> 2020.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156"/>
    <w:multiLevelType w:val="hybridMultilevel"/>
    <w:tmpl w:val="4BF08B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60A28"/>
    <w:multiLevelType w:val="hybridMultilevel"/>
    <w:tmpl w:val="8F02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1139"/>
    <w:multiLevelType w:val="hybridMultilevel"/>
    <w:tmpl w:val="BEBE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845"/>
    <w:multiLevelType w:val="hybridMultilevel"/>
    <w:tmpl w:val="066E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3AC"/>
    <w:multiLevelType w:val="hybridMultilevel"/>
    <w:tmpl w:val="48B8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DD0"/>
    <w:multiLevelType w:val="hybridMultilevel"/>
    <w:tmpl w:val="61FC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4D"/>
    <w:rsid w:val="00012FAB"/>
    <w:rsid w:val="00064748"/>
    <w:rsid w:val="001133A8"/>
    <w:rsid w:val="001446B3"/>
    <w:rsid w:val="00145552"/>
    <w:rsid w:val="00206BBC"/>
    <w:rsid w:val="002123CF"/>
    <w:rsid w:val="00225B5A"/>
    <w:rsid w:val="00233841"/>
    <w:rsid w:val="00236EF8"/>
    <w:rsid w:val="00276575"/>
    <w:rsid w:val="002C60F8"/>
    <w:rsid w:val="002D355D"/>
    <w:rsid w:val="0031240A"/>
    <w:rsid w:val="00325393"/>
    <w:rsid w:val="00350D5C"/>
    <w:rsid w:val="00401D8B"/>
    <w:rsid w:val="00484986"/>
    <w:rsid w:val="00493769"/>
    <w:rsid w:val="004D55A9"/>
    <w:rsid w:val="00540E43"/>
    <w:rsid w:val="00545C97"/>
    <w:rsid w:val="00601A56"/>
    <w:rsid w:val="006B54FD"/>
    <w:rsid w:val="006F0921"/>
    <w:rsid w:val="006F772C"/>
    <w:rsid w:val="007607EF"/>
    <w:rsid w:val="00890F8A"/>
    <w:rsid w:val="00BF26DD"/>
    <w:rsid w:val="00BF6EF7"/>
    <w:rsid w:val="00C3705E"/>
    <w:rsid w:val="00C875A7"/>
    <w:rsid w:val="00CA0C5D"/>
    <w:rsid w:val="00D1451A"/>
    <w:rsid w:val="00D850DE"/>
    <w:rsid w:val="00DA390C"/>
    <w:rsid w:val="00DF0B4D"/>
    <w:rsid w:val="00E347FB"/>
    <w:rsid w:val="00EA704E"/>
    <w:rsid w:val="00EC1E5D"/>
    <w:rsid w:val="00F92FA7"/>
    <w:rsid w:val="00FA0754"/>
    <w:rsid w:val="00FA112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831C"/>
  <w15:chartTrackingRefBased/>
  <w15:docId w15:val="{27343AA9-6DC2-0942-B527-D47CE88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D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C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C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a.so@one.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action.org/blog/no-excuse-for-abu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ora.unicef.org/course/info.php?id=7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c.csod.com/client/ifrc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B9130-126E-4957-A245-A953566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Yong</dc:creator>
  <cp:keywords/>
  <dc:description/>
  <cp:lastModifiedBy>WARUI Miriam</cp:lastModifiedBy>
  <cp:revision>2</cp:revision>
  <dcterms:created xsi:type="dcterms:W3CDTF">2020-04-27T03:43:00Z</dcterms:created>
  <dcterms:modified xsi:type="dcterms:W3CDTF">2020-04-27T03:43:00Z</dcterms:modified>
</cp:coreProperties>
</file>